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48D868">
      <w:pPr>
        <w:rPr>
          <w:rFonts w:hint="eastAsia" w:ascii="Songti SC Regular" w:hAnsi="Songti SC Regular" w:eastAsia="Songti SC Regular" w:cs="Songti SC Regular"/>
        </w:rPr>
      </w:pPr>
    </w:p>
    <w:p w14:paraId="31FBAA0D">
      <w:pPr>
        <w:jc w:val="center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  <w:b/>
          <w:color w:val="1A73E8"/>
          <w:sz w:val="52"/>
        </w:rPr>
        <w:t>宝锐生物 LTC 体系核心知识点</w:t>
      </w:r>
    </w:p>
    <w:p w14:paraId="6FEFCFD8">
      <w:pPr>
        <w:jc w:val="center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  <w:color w:val="5F6368"/>
          <w:sz w:val="26"/>
        </w:rPr>
        <w:t>基于《华为市场营销体系》（6版，254页）的提炼</w:t>
      </w:r>
      <w:r>
        <w:rPr>
          <w:rFonts w:hint="eastAsia" w:ascii="Songti SC Regular" w:hAnsi="Songti SC Regular" w:eastAsia="Songti SC Regular" w:cs="Songti SC Regular"/>
          <w:color w:val="5F6368"/>
          <w:sz w:val="26"/>
        </w:rPr>
        <w:br w:type="textWrapping"/>
      </w:r>
      <w:r>
        <w:rPr>
          <w:rFonts w:hint="eastAsia" w:ascii="Songti SC Regular" w:hAnsi="Songti SC Regular" w:eastAsia="Songti SC Regular" w:cs="Songti SC Regular"/>
          <w:color w:val="5F6368"/>
          <w:sz w:val="26"/>
        </w:rPr>
        <w:t>Lead to Cash · 从线索到回款</w:t>
      </w:r>
    </w:p>
    <w:p w14:paraId="154866FD">
      <w:pPr>
        <w:jc w:val="center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  <w:sz w:val="20"/>
        </w:rPr>
        <w:t>BIORI BIOTECH · 2026-07-20</w:t>
      </w:r>
      <w:r>
        <w:rPr>
          <w:rFonts w:hint="eastAsia" w:ascii="Songti SC Regular" w:hAnsi="Songti SC Regular" w:eastAsia="Songti SC Regular" w:cs="Songti SC Regular"/>
          <w:sz w:val="20"/>
        </w:rPr>
        <w:br w:type="textWrapping"/>
      </w:r>
      <w:r>
        <w:rPr>
          <w:rFonts w:hint="eastAsia" w:ascii="Songti SC Regular" w:hAnsi="Songti SC Regular" w:eastAsia="Songti SC Regular" w:cs="Songti SC Regular"/>
          <w:sz w:val="20"/>
        </w:rPr>
        <w:t>多Agent协作：Ollama qwen3 摘要 + DeepSeek 汇总</w:t>
      </w:r>
    </w:p>
    <w:p w14:paraId="7359131C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br w:type="page"/>
      </w:r>
    </w:p>
    <w:p w14:paraId="3F798202">
      <w:pPr>
        <w:pStyle w:val="3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第一章 华为LTC方法论概述</w:t>
      </w:r>
    </w:p>
    <w:p w14:paraId="28AA6DDB">
      <w:pPr>
        <w:pStyle w:val="4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1.1 LTC的定义与由来（第2.4节）</w:t>
      </w:r>
    </w:p>
    <w:p w14:paraId="4BC913CF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LTC即Lead to Cash（从线索到回款），是华为销售管理的核心流程。它不是一个简单的销售漏斗，而是一套覆盖从市场线索发现到最终现金回款的端到端管理体系。华为将LTC视为继IPD（集成产品开发）、ISC（集成供应链）之后的第三大核心业务流程。</w:t>
      </w:r>
    </w:p>
    <w:p w14:paraId="6D867721">
      <w:pPr>
        <w:pStyle w:val="4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1.2 LTC的核心流程（第2.4.2节）</w:t>
      </w:r>
    </w:p>
    <w:p w14:paraId="72B0D497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LTC流程分为五个阶段（S1-S5）：</w:t>
      </w:r>
    </w:p>
    <w:p w14:paraId="008D7D50">
      <w:pPr>
        <w:pStyle w:val="16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S1 线索管理（Lead Management）：识别和验证市场机会</w:t>
      </w:r>
    </w:p>
    <w:p w14:paraId="11071E1C">
      <w:pPr>
        <w:pStyle w:val="16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S2 机会点管理（Opportunity Management）：将线索转化为可追踪的商机</w:t>
      </w:r>
    </w:p>
    <w:p w14:paraId="51807DAC">
      <w:pPr>
        <w:pStyle w:val="16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S3 解决方案开发（Solution Development）：针对客户需求定制方案</w:t>
      </w:r>
    </w:p>
    <w:p w14:paraId="597C9A1B">
      <w:pPr>
        <w:pStyle w:val="16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S4 合同执行（Contract Execution）：签订合同并交付</w:t>
      </w:r>
    </w:p>
    <w:p w14:paraId="03520903">
      <w:pPr>
        <w:pStyle w:val="16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S5 回款管理（Collection）：确保现金回流</w:t>
      </w:r>
    </w:p>
    <w:p w14:paraId="0158B816">
      <w:pPr>
        <w:pStyle w:val="4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1.3 华为LTC的核心理念</w:t>
      </w:r>
    </w:p>
    <w:p w14:paraId="380D43B2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华为LTC不是单纯的销售流程，而是强调"赢"与"盈"并重——既要赢得项目，也要确保盈利。华为通过合同授权和决策机制覆盖财经和风险，确保每笔交易在签约前就完成盈利评估。这一点对宝锐生物尤为重要：诊断原料销售不能只追求订单数量，必须关注利润率和回款周期。</w:t>
      </w:r>
    </w:p>
    <w:p w14:paraId="085769DD">
      <w:pPr>
        <w:pStyle w:val="3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第二章 铁三角运作机制（第4.3节 + 第11.4.2节）</w:t>
      </w:r>
    </w:p>
    <w:p w14:paraId="4FFC2FEE">
      <w:pPr>
        <w:pStyle w:val="4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2.1 铁三角的角色定义</w:t>
      </w:r>
    </w:p>
    <w:p w14:paraId="30E43062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华为铁三角（CC3）由三个角色组成：</w:t>
      </w:r>
    </w:p>
    <w:p w14:paraId="4474E4F4">
      <w:pPr>
        <w:pStyle w:val="16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AR（Account Responsible，客户责任人/客户经理）：负责客户关系维护和商机挖掘</w:t>
      </w:r>
    </w:p>
    <w:p w14:paraId="1A7D5F4F">
      <w:pPr>
        <w:pStyle w:val="16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SR（Solution Responsible，方案责任人/方案经理）：负责技术方案设计和价值呈现</w:t>
      </w:r>
    </w:p>
    <w:p w14:paraId="109C401E">
      <w:pPr>
        <w:pStyle w:val="16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FR（Fulfillment Responsible，交付责任人/交付经理）：负责合同执行和售后交付</w:t>
      </w:r>
    </w:p>
    <w:p w14:paraId="31BCA732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三者共同面向客户，端到端覆盖客户全生命周期。</w:t>
      </w:r>
    </w:p>
    <w:p w14:paraId="03AD690F">
      <w:pPr>
        <w:pStyle w:val="4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2.2 宝锐生物的落地建议</w:t>
      </w:r>
    </w:p>
    <w:p w14:paraId="0304FBB7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将铁三角适配到诊断原料业务：</w:t>
      </w:r>
    </w:p>
    <w:p w14:paraId="47CDEE99">
      <w:pPr>
        <w:pStyle w:val="16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AR = 销售员（如刘虹晶、赵云浩），负责客户关系和商机跟进</w:t>
      </w:r>
    </w:p>
    <w:p w14:paraId="3187CE6C">
      <w:pPr>
        <w:pStyle w:val="16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SR = 技术支持/产品经理，负责原料选型方案和技术答疑</w:t>
      </w:r>
    </w:p>
    <w:p w14:paraId="5B37F16B">
      <w:pPr>
        <w:pStyle w:val="16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FR = 商务/物流，负责订单处理、发货和售后</w:t>
      </w:r>
    </w:p>
    <w:p w14:paraId="404CD0D9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当前宝锐已有销售+技术+商务的雏形，缺的是三者之间的信息拉通机制——建议每次客户拜访后，AR/SR/FR三方在CRM中同步更新。</w:t>
      </w:r>
    </w:p>
    <w:p w14:paraId="51C0182E">
      <w:pPr>
        <w:pStyle w:val="3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第三章 从线索到回款的完整流程</w:t>
      </w:r>
    </w:p>
    <w:p w14:paraId="59565144">
      <w:pPr>
        <w:pStyle w:val="4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3.1 线索管理（第2.4节 + 第1.2节）</w:t>
      </w:r>
    </w:p>
    <w:p w14:paraId="33265DFC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华为将客户需求管理分为五步：① 拒绝表面需求（挖掘深层需求）、② 挖掘客户需求、③ 需求分级（项目级/产品级/组织级）、④ 多渠道收集需求、⑤ 使用APPEALS工具评估。</w:t>
      </w:r>
    </w:p>
    <w:p w14:paraId="190808DE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APPEALS工具从8个维度评估客户需求：价格（Price）、可获得性（Availability）、包装（Packaging）、性能（Performance）、易用性（Ease of Use）、保证（Assurances）、生命周期成本（Life Cycle Cost）、社会接受度（Social Acceptance）。</w:t>
      </w:r>
    </w:p>
    <w:p w14:paraId="27FBFE33">
      <w:pPr>
        <w:pStyle w:val="4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3.2 宝锐适配：客户需求挖掘</w:t>
      </w:r>
    </w:p>
    <w:p w14:paraId="1FE1D773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诊断原料销售场景下，客户说的"我要PCR酶"不等于"我需要qPCR Mix"。需要按APPEALS框架追问：</w:t>
      </w:r>
    </w:p>
    <w:p w14:paraId="5B07CDCF">
      <w:pPr>
        <w:pStyle w:val="16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价格维度：您的预算区间？还是竞品报价范围？</w:t>
      </w:r>
    </w:p>
    <w:p w14:paraId="32CDBCD6">
      <w:pPr>
        <w:pStyle w:val="16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性能维度：对扩增效率、灵敏度、抗抑制能力有什么要求？</w:t>
      </w:r>
    </w:p>
    <w:p w14:paraId="592C82A1">
      <w:pPr>
        <w:pStyle w:val="16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可获得性：您期望的交货周期？需要备货吗？</w:t>
      </w:r>
    </w:p>
    <w:p w14:paraId="067D856F">
      <w:pPr>
        <w:pStyle w:val="16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生命周期成本：除了单价，您还关心批次稳定性、技术支持频次吗？</w:t>
      </w:r>
    </w:p>
    <w:p w14:paraId="4E4602AF">
      <w:pPr>
        <w:pStyle w:val="4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3.3 销售项目管理七步法（第1.1.4节）</w:t>
      </w:r>
    </w:p>
    <w:p w14:paraId="15F59851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华为将销售项目分为七步管理：目标设定→项目分析→策略制定→资源规划→执行监控→阶段评审→项目收尾。每个步骤有明确的输入输出标准。</w:t>
      </w:r>
    </w:p>
    <w:p w14:paraId="2F0A9675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宝锐适配：对大客户（KA/A级）的每个商机建立项目卡，记录当前阶段、关键决策人、竞品信息、下一步行动。</w:t>
      </w:r>
    </w:p>
    <w:p w14:paraId="662307DB">
      <w:pPr>
        <w:pStyle w:val="3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第四章 市场压力传递与目标管理</w:t>
      </w:r>
    </w:p>
    <w:p w14:paraId="02AD5732">
      <w:pPr>
        <w:pStyle w:val="4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4.1 市场压力传递机制（第1.1.5节）</w:t>
      </w:r>
    </w:p>
    <w:p w14:paraId="7183FAE8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华为采用"压强原则"（业绩=压力+动力），将市场压力层层传递到每个销售人员。具体做法：</w:t>
      </w:r>
    </w:p>
    <w:p w14:paraId="6C0DDF9B">
      <w:pPr>
        <w:pStyle w:val="16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月度目标公开发布，排名透明</w:t>
      </w:r>
    </w:p>
    <w:p w14:paraId="76B5FA10">
      <w:pPr>
        <w:pStyle w:val="16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年度目标分解到月、到人、到客户</w:t>
      </w:r>
    </w:p>
    <w:p w14:paraId="43FE2773">
      <w:pPr>
        <w:pStyle w:val="16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压力传导不靠喊口号，靠数据驱动的目标管理</w:t>
      </w:r>
    </w:p>
    <w:p w14:paraId="0CB51D9A">
      <w:pPr>
        <w:pStyle w:val="4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4.2 五看三定战略框架（第3章）</w:t>
      </w:r>
    </w:p>
    <w:p w14:paraId="1C2E5ADF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五看：看宏观、看行业、看客户、看竞争、看自己 → 三定：定战略控制点、定目标、定策略。这是华为从战略到执行的闭环方法论。</w:t>
      </w:r>
    </w:p>
    <w:p w14:paraId="0B3615A3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宝锐适配：每条产品线做一个"五看"分析，输出产品线战略卡片。</w:t>
      </w:r>
    </w:p>
    <w:p w14:paraId="159ACDA1">
      <w:pPr>
        <w:pStyle w:val="4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4.3 营销力量四维模型（第20页）</w:t>
      </w:r>
    </w:p>
    <w:p w14:paraId="56492B22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华为认为营销力量 = 产品力 + 业务人员力 + 组织力 + 品牌力。四个维度协同发力，而非单一依赖销售个人英雄主义。</w:t>
      </w:r>
    </w:p>
    <w:p w14:paraId="722E2FA1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宝锐现状：产品力（PCR酶质量过硬）✅、品牌力（BIORI知名度待提升）⚠️、组织力（工作台系统已建立）✅、人员力（销售团队扩容中）🔄。</w:t>
      </w:r>
    </w:p>
    <w:p w14:paraId="3413112F">
      <w:pPr>
        <w:pStyle w:val="3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第五章 客户关系管理（MCR）</w:t>
      </w:r>
    </w:p>
    <w:p w14:paraId="57AE71DF">
      <w:pPr>
        <w:pStyle w:val="4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5.1 华为MCR五阶段流程（第4.4节）</w:t>
      </w:r>
    </w:p>
    <w:p w14:paraId="1EC058B2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华为将客户关系管理（MCR）作为独立流程：① 客户选择 → ② 关系规划 → ③ 接触质量管理 → ④ 客户满意度管理 → ⑤ 客户档案管理。</w:t>
      </w:r>
    </w:p>
    <w:p w14:paraId="0A138B17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核心洞察：客户关系 ≠ 吃饭喝酒。华为把客户关系当作可量化、可规划、可管理的科学流程。</w:t>
      </w:r>
    </w:p>
    <w:p w14:paraId="4C7990C2">
      <w:pPr>
        <w:pStyle w:val="4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5.2 群狼战术与普遍客户原则（第7.1-7.2节）</w:t>
      </w:r>
    </w:p>
    <w:p w14:paraId="38ADADC5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"群狼战术"：华为采用人海战术，10:1的人员比席卷市场。</w:t>
      </w:r>
    </w:p>
    <w:p w14:paraId="6B6CCE1A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"普遍客户原则"：小客户也是上帝，每层每级贴近客户，县局级也要定期沟通。</w:t>
      </w:r>
    </w:p>
    <w:p w14:paraId="40A0886B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宝锐适配：诊断原料市场客户数量大（1197+家），不可能10:1配人。但可以学习"普遍客户原则"——对B/C级客户也要有最低频次的触达（如季度电话+年度拜访）。</w:t>
      </w:r>
    </w:p>
    <w:p w14:paraId="46BF1F04">
      <w:pPr>
        <w:pStyle w:val="4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5.3 客户痛苦链分析（第119-120页）</w:t>
      </w:r>
    </w:p>
    <w:p w14:paraId="3B5664C6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华为通过客户痛苦链（从CEO到一线操作者的痛点链条）快速定位问题切入点。</w:t>
      </w:r>
    </w:p>
    <w:p w14:paraId="4A0AA069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宝锐适配：对每个KA客户画出"痛苦链"——采购总监担心什么？研发主管焦虑什么？一线QC人员在烦什么？然后针对每个痛点准备话术。</w:t>
      </w:r>
    </w:p>
    <w:p w14:paraId="3A3EDA68">
      <w:pPr>
        <w:pStyle w:val="3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第六章 对宝锐生物诊断原料业务的适配建议</w:t>
      </w:r>
    </w:p>
    <w:p w14:paraId="29D8B39D">
      <w:pPr>
        <w:pStyle w:val="4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6.1 立即执行项</w:t>
      </w:r>
    </w:p>
    <w:p w14:paraId="3A3EDE95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① 为15家KA客户建立LTC项目卡，标注当前S1-S5阶段</w:t>
      </w:r>
    </w:p>
    <w:p w14:paraId="06B43F31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② 每个KA客户指定铁三角（AR+SR+FR），发邮件公示</w:t>
      </w:r>
    </w:p>
    <w:p w14:paraId="2F1B05EC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③ 本月开始试用APPEALS框架做客户需求访谈</w:t>
      </w:r>
    </w:p>
    <w:p w14:paraId="46880984">
      <w:pPr>
        <w:rPr>
          <w:rFonts w:hint="default" w:ascii="Songti SC Regular" w:hAnsi="Songti SC Regular" w:eastAsia="Songti SC Regular" w:cs="Songti SC Regular"/>
          <w:lang w:val="en-US" w:eastAsia="zh-CN"/>
        </w:rPr>
      </w:pPr>
      <w:r>
        <w:rPr>
          <w:rFonts w:hint="eastAsia" w:ascii="Songti SC Regular" w:hAnsi="Songti SC Regular" w:eastAsia="Songti SC Regular" w:cs="Songti SC Regular"/>
        </w:rPr>
        <w:t>④ 客户分级服务标准：KA</w:t>
      </w:r>
      <w:r>
        <w:rPr>
          <w:rFonts w:hint="eastAsia" w:ascii="Songti SC Regular" w:hAnsi="Songti SC Regular" w:eastAsia="Songti SC Regular" w:cs="Songti SC Regular"/>
          <w:lang w:val="en-US" w:eastAsia="zh-CN"/>
        </w:rPr>
        <w:t>≧</w:t>
      </w:r>
      <w:r>
        <w:rPr>
          <w:rFonts w:hint="eastAsia" w:ascii="Songti SC Regular" w:hAnsi="Songti SC Regular" w:eastAsia="Songti SC Regular" w:cs="Songti SC Regular"/>
        </w:rPr>
        <w:t>月访+铁三角同访，A</w:t>
      </w:r>
      <w:r>
        <w:rPr>
          <w:rFonts w:hint="eastAsia" w:ascii="Songti SC Regular" w:hAnsi="Songti SC Regular" w:eastAsia="Songti SC Regular" w:cs="Songti SC Regular"/>
          <w:lang w:val="en-US" w:eastAsia="zh-CN"/>
        </w:rPr>
        <w:t>≧拓展部</w:t>
      </w:r>
      <w:r>
        <w:rPr>
          <w:rFonts w:hint="eastAsia" w:ascii="Songti SC Regular" w:hAnsi="Songti SC Regular" w:eastAsia="Songti SC Regular" w:cs="Songti SC Regular"/>
        </w:rPr>
        <w:t>月</w:t>
      </w:r>
      <w:r>
        <w:rPr>
          <w:rFonts w:hint="eastAsia" w:ascii="Songti SC Regular" w:hAnsi="Songti SC Regular" w:eastAsia="Songti SC Regular" w:cs="Songti SC Regular"/>
          <w:lang w:val="en-US" w:eastAsia="zh-CN"/>
        </w:rPr>
        <w:t>2</w:t>
      </w:r>
      <w:r>
        <w:rPr>
          <w:rFonts w:hint="eastAsia" w:ascii="Songti SC Regular" w:hAnsi="Songti SC Regular" w:eastAsia="Songti SC Regular" w:cs="Songti SC Regular"/>
        </w:rPr>
        <w:t>访，B</w:t>
      </w:r>
      <w:r>
        <w:rPr>
          <w:rFonts w:hint="eastAsia" w:ascii="Songti SC Regular" w:hAnsi="Songti SC Regular" w:eastAsia="Songti SC Regular" w:cs="Songti SC Regular"/>
          <w:lang w:val="en-US" w:eastAsia="zh-CN"/>
        </w:rPr>
        <w:t>≧拓展部</w:t>
      </w:r>
      <w:r>
        <w:rPr>
          <w:rFonts w:hint="eastAsia" w:ascii="Songti SC Regular" w:hAnsi="Songti SC Regular" w:eastAsia="Songti SC Regular" w:cs="Songti SC Regular"/>
        </w:rPr>
        <w:t>季</w:t>
      </w:r>
      <w:r>
        <w:rPr>
          <w:rFonts w:hint="eastAsia" w:ascii="Songti SC Regular" w:hAnsi="Songti SC Regular" w:eastAsia="Songti SC Regular" w:cs="Songti SC Regular"/>
          <w:lang w:val="en-US" w:eastAsia="zh-CN"/>
        </w:rPr>
        <w:t>2</w:t>
      </w:r>
      <w:r>
        <w:rPr>
          <w:rFonts w:hint="eastAsia" w:ascii="Songti SC Regular" w:hAnsi="Songti SC Regular" w:eastAsia="Songti SC Regular" w:cs="Songti SC Regular"/>
        </w:rPr>
        <w:t>访，C</w:t>
      </w:r>
      <w:r>
        <w:rPr>
          <w:rFonts w:hint="eastAsia" w:ascii="Songti SC Regular" w:hAnsi="Songti SC Regular" w:eastAsia="Songti SC Regular" w:cs="Songti SC Regular"/>
          <w:lang w:val="en-US" w:eastAsia="zh-CN"/>
        </w:rPr>
        <w:t>≧拓展部</w:t>
      </w:r>
      <w:r>
        <w:rPr>
          <w:rFonts w:hint="eastAsia" w:ascii="Songti SC Regular" w:hAnsi="Songti SC Regular" w:eastAsia="Songti SC Regular" w:cs="Songti SC Regular"/>
        </w:rPr>
        <w:t>半年</w:t>
      </w:r>
      <w:r>
        <w:rPr>
          <w:rFonts w:hint="eastAsia" w:ascii="Songti SC Regular" w:hAnsi="Songti SC Regular" w:eastAsia="Songti SC Regular" w:cs="Songti SC Regular"/>
          <w:lang w:val="en-US" w:eastAsia="zh-CN"/>
        </w:rPr>
        <w:t>4访</w:t>
      </w:r>
    </w:p>
    <w:p w14:paraId="65BEAD30">
      <w:pPr>
        <w:pStyle w:val="4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6.2 三个月目标</w:t>
      </w:r>
    </w:p>
    <w:p w14:paraId="3FB8D746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① 所有KA客户完成"痛苦链"分析</w:t>
      </w:r>
    </w:p>
    <w:p w14:paraId="582682CF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② 建立客户关系质量评分机制（每月自评）</w:t>
      </w:r>
      <w:bookmarkStart w:id="0" w:name="_GoBack"/>
      <w:bookmarkEnd w:id="0"/>
    </w:p>
    <w:p w14:paraId="25FA67F8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③ LTC流程数字化：在销售工作台中增加"商机阶段追踪"模块</w:t>
      </w:r>
    </w:p>
    <w:p w14:paraId="50A27C1B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④ 团队培训：华为LTC方法论内训（用本手册为教材）</w:t>
      </w:r>
    </w:p>
    <w:p w14:paraId="2B7E1DF5">
      <w:pPr>
        <w:pStyle w:val="4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6.3 长期愿景</w:t>
      </w:r>
    </w:p>
    <w:p w14:paraId="0A2A4A38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① LTC全流程数字化：从线索录入→商机推进→合同审批→回款确认，全链路可追溯</w:t>
      </w:r>
    </w:p>
    <w:p w14:paraId="194CCB5C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② 铁三角绩效绑定：AR/SR/FR共享同一客户的KPI指标</w:t>
      </w:r>
    </w:p>
    <w:p w14:paraId="05D514F1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③ 知识库沉淀：所有客户拜访卡纳入可搜索的知识库，新人可快速上手</w:t>
      </w:r>
    </w:p>
    <w:p w14:paraId="5D96E697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br w:type="page"/>
      </w:r>
    </w:p>
    <w:p w14:paraId="62A6D440">
      <w:pPr>
        <w:pStyle w:val="3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附录</w:t>
      </w:r>
    </w:p>
    <w:p w14:paraId="70C17ABB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原始文档：《华为市场营销体系》（6版），华为前高管管理团队资料整理汇编，254页。</w:t>
      </w:r>
    </w:p>
    <w:p w14:paraId="748212E2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摘要引擎：Ollama qwen3:4b-16k（16个子文档并行摘要）</w:t>
      </w:r>
    </w:p>
    <w:p w14:paraId="72D2979E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汇总引擎：DeepSeek V4 Pro</w:t>
      </w:r>
    </w:p>
    <w:p w14:paraId="63DD856C">
      <w:pPr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t>生成日期：2026-07-20 23:58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Songti SC Regular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DF3D919"/>
    <w:rsid w:val="777F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609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刘新元</cp:lastModifiedBy>
  <dcterms:modified xsi:type="dcterms:W3CDTF">2026-07-21T20:11:15Z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2F632097310A64ECFB455E6A8633FC53_42</vt:lpwstr>
  </property>
</Properties>
</file>