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32"/>
          <w:szCs w:val="36"/>
        </w:rPr>
      </w:pPr>
      <w:r>
        <w:rPr>
          <w:rFonts w:hint="default" w:ascii="Times New Roman" w:hAnsi="Times New Roman" w:cs="Times New Roman"/>
          <w:sz w:val="32"/>
          <w:szCs w:val="36"/>
        </w:rPr>
        <w:t>冻干</w:t>
      </w:r>
      <w:r>
        <w:rPr>
          <w:rFonts w:hint="eastAsia" w:ascii="Times New Roman" w:hAnsi="Times New Roman" w:cs="Times New Roman"/>
          <w:sz w:val="32"/>
          <w:szCs w:val="36"/>
          <w:lang w:eastAsia="zh-CN"/>
        </w:rPr>
        <w:t>服务培训</w:t>
      </w:r>
      <w:r>
        <w:rPr>
          <w:rFonts w:hint="default" w:ascii="Times New Roman" w:hAnsi="Times New Roman" w:cs="Times New Roman"/>
          <w:sz w:val="32"/>
          <w:szCs w:val="36"/>
        </w:rPr>
        <w:t>测试题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32"/>
          <w:szCs w:val="36"/>
          <w:lang w:eastAsia="zh-CN"/>
        </w:rPr>
      </w:pPr>
      <w:r>
        <w:rPr>
          <w:rFonts w:hint="default" w:ascii="Times New Roman" w:hAnsi="Times New Roman" w:cs="Times New Roman"/>
          <w:sz w:val="32"/>
          <w:szCs w:val="36"/>
          <w:lang w:eastAsia="zh-CN"/>
        </w:rPr>
        <w:t>填空题（共</w:t>
      </w:r>
      <w:r>
        <w:rPr>
          <w:rFonts w:hint="default" w:ascii="Times New Roman" w:hAnsi="Times New Roman" w:cs="Times New Roman"/>
          <w:sz w:val="32"/>
          <w:szCs w:val="36"/>
          <w:lang w:val="en-US" w:eastAsia="zh-CN"/>
        </w:rPr>
        <w:t>8题，每题10分</w:t>
      </w:r>
      <w:r>
        <w:rPr>
          <w:rFonts w:hint="default" w:ascii="Times New Roman" w:hAnsi="Times New Roman" w:cs="Times New Roman"/>
          <w:sz w:val="32"/>
          <w:szCs w:val="36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32"/>
          <w:szCs w:val="36"/>
          <w:lang w:eastAsia="zh-CN"/>
        </w:rPr>
      </w:pPr>
      <w:r>
        <w:rPr>
          <w:rFonts w:hint="default" w:ascii="Times New Roman" w:hAnsi="Times New Roman" w:cs="Times New Roman"/>
          <w:sz w:val="24"/>
          <w:szCs w:val="28"/>
          <w:lang w:val="en-US" w:eastAsia="zh-CN"/>
        </w:rPr>
        <w:t>1、</w:t>
      </w:r>
      <w:r>
        <w:rPr>
          <w:rFonts w:hint="default" w:ascii="Times New Roman" w:hAnsi="Times New Roman" w:cs="Times New Roman"/>
          <w:sz w:val="24"/>
          <w:szCs w:val="28"/>
        </w:rPr>
        <w:t>冻干</w:t>
      </w:r>
      <w:r>
        <w:rPr>
          <w:rFonts w:hint="default" w:ascii="Times New Roman" w:hAnsi="Times New Roman" w:cs="Times New Roman"/>
          <w:sz w:val="24"/>
          <w:szCs w:val="28"/>
          <w:lang w:eastAsia="zh-CN"/>
        </w:rPr>
        <w:t>程序</w:t>
      </w:r>
      <w:r>
        <w:rPr>
          <w:rFonts w:hint="default" w:ascii="Times New Roman" w:hAnsi="Times New Roman" w:cs="Times New Roman"/>
          <w:sz w:val="24"/>
          <w:szCs w:val="28"/>
        </w:rPr>
        <w:t>主要分为两个过程，分别为</w:t>
      </w:r>
      <w:r>
        <w:rPr>
          <w:rFonts w:hint="default" w:ascii="Times New Roman" w:hAnsi="Times New Roman" w:cs="Times New Roman"/>
          <w:sz w:val="24"/>
          <w:szCs w:val="28"/>
          <w:u w:val="single"/>
        </w:rPr>
        <w:t xml:space="preserve">   </w:t>
      </w:r>
      <w:r>
        <w:rPr>
          <w:rFonts w:hint="default" w:ascii="Times New Roman" w:hAnsi="Times New Roman" w:cs="Times New Roman"/>
          <w:sz w:val="24"/>
          <w:szCs w:val="28"/>
          <w:u w:val="single"/>
          <w:lang w:eastAsia="zh-CN"/>
        </w:rPr>
        <w:t>预冻</w:t>
      </w:r>
      <w:r>
        <w:rPr>
          <w:rFonts w:hint="default" w:ascii="Times New Roman" w:hAnsi="Times New Roman" w:cs="Times New Roman"/>
          <w:sz w:val="24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4"/>
          <w:szCs w:val="28"/>
        </w:rPr>
        <w:t>和</w:t>
      </w:r>
      <w:r>
        <w:rPr>
          <w:rFonts w:hint="default" w:ascii="Times New Roman" w:hAnsi="Times New Roman" w:cs="Times New Roman"/>
          <w:sz w:val="24"/>
          <w:szCs w:val="28"/>
          <w:lang w:eastAsia="zh-CN"/>
        </w:rPr>
        <w:t>升华</w:t>
      </w:r>
      <w:r>
        <w:rPr>
          <w:rFonts w:hint="default" w:ascii="Times New Roman" w:hAnsi="Times New Roman" w:cs="Times New Roman"/>
          <w:sz w:val="24"/>
          <w:szCs w:val="28"/>
        </w:rPr>
        <w:t>；其中</w:t>
      </w:r>
      <w:r>
        <w:rPr>
          <w:rFonts w:hint="default" w:ascii="Times New Roman" w:hAnsi="Times New Roman" w:cs="Times New Roman"/>
          <w:sz w:val="24"/>
          <w:szCs w:val="28"/>
          <w:lang w:eastAsia="zh-CN"/>
        </w:rPr>
        <w:t>升华</w:t>
      </w:r>
      <w:r>
        <w:rPr>
          <w:rFonts w:hint="default" w:ascii="Times New Roman" w:hAnsi="Times New Roman" w:cs="Times New Roman"/>
          <w:sz w:val="24"/>
          <w:szCs w:val="28"/>
        </w:rPr>
        <w:t>又分为</w:t>
      </w:r>
      <w:r>
        <w:rPr>
          <w:rFonts w:hint="default" w:ascii="Times New Roman" w:hAnsi="Times New Roman" w:cs="Times New Roman"/>
          <w:sz w:val="24"/>
          <w:szCs w:val="28"/>
          <w:u w:val="single"/>
        </w:rPr>
        <w:t xml:space="preserve">   </w:t>
      </w:r>
      <w:r>
        <w:rPr>
          <w:rFonts w:hint="default" w:ascii="Times New Roman" w:hAnsi="Times New Roman" w:cs="Times New Roman"/>
          <w:sz w:val="24"/>
          <w:szCs w:val="28"/>
          <w:u w:val="single"/>
          <w:lang w:eastAsia="zh-CN"/>
        </w:rPr>
        <w:t>一次升华</w:t>
      </w:r>
      <w:r>
        <w:rPr>
          <w:rFonts w:hint="default" w:ascii="Times New Roman" w:hAnsi="Times New Roman" w:cs="Times New Roman"/>
          <w:sz w:val="24"/>
          <w:szCs w:val="28"/>
          <w:u w:val="single"/>
        </w:rPr>
        <w:t xml:space="preserve"> 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>和</w:t>
      </w:r>
      <w:r>
        <w:rPr>
          <w:rFonts w:hint="default" w:ascii="Times New Roman" w:hAnsi="Times New Roman" w:cs="Times New Roman"/>
          <w:sz w:val="24"/>
          <w:szCs w:val="28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二次升华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sz w:val="24"/>
          <w:szCs w:val="28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8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8"/>
        </w:rPr>
        <w:t>、</w:t>
      </w:r>
      <w:r>
        <w:rPr>
          <w:rFonts w:hint="default" w:ascii="Times New Roman" w:hAnsi="Times New Roman" w:cs="Times New Roman"/>
          <w:sz w:val="24"/>
          <w:szCs w:val="28"/>
          <w:lang w:eastAsia="zh-CN"/>
        </w:rPr>
        <w:t>适用于八联管原位全组分冻干的</w:t>
      </w:r>
      <w:r>
        <w:rPr>
          <w:rFonts w:hint="default" w:ascii="Times New Roman" w:hAnsi="Times New Roman" w:cs="Times New Roman"/>
          <w:sz w:val="24"/>
          <w:szCs w:val="28"/>
          <w:lang w:val="en-US" w:eastAsia="zh-CN"/>
        </w:rPr>
        <w:t>DNA扩增试剂为</w:t>
      </w:r>
      <w:r>
        <w:rPr>
          <w:rFonts w:hint="default" w:ascii="Times New Roman" w:hAnsi="Times New Roman" w:cs="Times New Roman"/>
          <w:sz w:val="24"/>
          <w:szCs w:val="28"/>
          <w:u w:val="single"/>
        </w:rPr>
        <w:t xml:space="preserve">   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>FM5161</w:t>
      </w:r>
      <w:r>
        <w:rPr>
          <w:rFonts w:hint="default" w:ascii="Times New Roman" w:hAnsi="Times New Roman" w:cs="Times New Roman"/>
          <w:sz w:val="24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、</w:t>
      </w:r>
      <w:r>
        <w:rPr>
          <w:rFonts w:hint="default" w:ascii="Times New Roman" w:hAnsi="Times New Roman" w:cs="Times New Roman"/>
          <w:sz w:val="24"/>
          <w:szCs w:val="28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 FM5071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、</w:t>
      </w: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 FM5091   、</w:t>
      </w: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FM2181-4      、</w:t>
      </w: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 FM2221     </w:t>
      </w: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8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  <w:szCs w:val="28"/>
        </w:rPr>
        <w:t>、</w:t>
      </w:r>
      <w:r>
        <w:rPr>
          <w:rFonts w:hint="default" w:ascii="Times New Roman" w:hAnsi="Times New Roman" w:cs="Times New Roman"/>
          <w:sz w:val="24"/>
          <w:szCs w:val="28"/>
          <w:lang w:eastAsia="zh-CN"/>
        </w:rPr>
        <w:t>在冻干球的冻干程序中，预冻过程中含有退火工艺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8"/>
          <w:lang w:eastAsia="zh-CN"/>
        </w:rPr>
        <w:t>的是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RNA </w:t>
      </w: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>体系；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>、冻干样品评价主要包括出箱即时评价、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  加速稳定性评价  、</w:t>
      </w: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>和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常温稳定性评价 </w:t>
      </w: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>三个阶段的评价；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8"/>
          <w:lang w:val="en-US" w:eastAsia="zh-CN"/>
        </w:rPr>
        <w:t>5</w:t>
      </w:r>
      <w:r>
        <w:rPr>
          <w:rFonts w:hint="default" w:ascii="Times New Roman" w:hAnsi="Times New Roman" w:cs="Times New Roman"/>
          <w:sz w:val="24"/>
          <w:szCs w:val="28"/>
          <w:lang w:val="en-US" w:eastAsia="zh-CN"/>
        </w:rPr>
        <w:t>、客户使用宝锐原料，可为客户提供不多于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 100T  </w:t>
      </w: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>50μl体系冻干样品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40" w:hanging="240" w:hangingChars="100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6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、配合客户进行冻干工艺的开发验证，一般需要提前预约，客户需提前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 xml:space="preserve">  两周  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预约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7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、宝锐常规qPCR、qRT-PCR冻干产品内部验证</w:t>
      </w: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55度加速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>30d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稳定</w:t>
      </w: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，部分产品已验证常温</w:t>
      </w: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 xml:space="preserve">  1年 </w:t>
      </w: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稳定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8、预冻干试剂货号中S代表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 xml:space="preserve">   冻干球冻干 、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O代表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>八联管冻干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、V代表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>西林瓶冻干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；</w:t>
      </w: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若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客户需求FM5071，30μl体系的冻干球产品，</w:t>
      </w: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销售部同事下单时填写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该冻干产品货号为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 xml:space="preserve">  PFM5071-S30。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i w:val="0"/>
          <w:iCs w:val="0"/>
          <w:sz w:val="32"/>
          <w:szCs w:val="36"/>
          <w:u w:val="none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32"/>
          <w:szCs w:val="36"/>
          <w:u w:val="none"/>
          <w:lang w:val="en-US" w:eastAsia="zh-CN"/>
        </w:rPr>
        <w:t>二、</w:t>
      </w:r>
      <w:r>
        <w:rPr>
          <w:rFonts w:hint="eastAsia" w:ascii="Times New Roman" w:hAnsi="Times New Roman" w:cs="Times New Roman"/>
          <w:i w:val="0"/>
          <w:iCs w:val="0"/>
          <w:sz w:val="32"/>
          <w:szCs w:val="36"/>
          <w:u w:val="none"/>
          <w:lang w:val="en-US" w:eastAsia="zh-CN"/>
        </w:rPr>
        <w:t>选择题</w:t>
      </w:r>
      <w:r>
        <w:rPr>
          <w:rFonts w:hint="default" w:ascii="Times New Roman" w:hAnsi="Times New Roman" w:cs="Times New Roman"/>
          <w:i w:val="0"/>
          <w:iCs w:val="0"/>
          <w:sz w:val="32"/>
          <w:szCs w:val="36"/>
          <w:u w:val="none"/>
          <w:lang w:val="en-US" w:eastAsia="zh-CN"/>
        </w:rPr>
        <w:t>（共</w:t>
      </w:r>
      <w:r>
        <w:rPr>
          <w:rFonts w:hint="eastAsia" w:ascii="Times New Roman" w:hAnsi="Times New Roman" w:cs="Times New Roman"/>
          <w:i w:val="0"/>
          <w:iCs w:val="0"/>
          <w:sz w:val="32"/>
          <w:szCs w:val="36"/>
          <w:u w:val="none"/>
          <w:lang w:val="en-US" w:eastAsia="zh-CN"/>
        </w:rPr>
        <w:t>4</w:t>
      </w:r>
      <w:r>
        <w:rPr>
          <w:rFonts w:hint="default" w:ascii="Times New Roman" w:hAnsi="Times New Roman" w:cs="Times New Roman"/>
          <w:i w:val="0"/>
          <w:iCs w:val="0"/>
          <w:sz w:val="32"/>
          <w:szCs w:val="36"/>
          <w:u w:val="none"/>
          <w:lang w:val="en-US" w:eastAsia="zh-CN"/>
        </w:rPr>
        <w:t>题，每题</w:t>
      </w:r>
      <w:r>
        <w:rPr>
          <w:rFonts w:hint="eastAsia" w:ascii="Times New Roman" w:hAnsi="Times New Roman" w:cs="Times New Roman"/>
          <w:i w:val="0"/>
          <w:iCs w:val="0"/>
          <w:sz w:val="32"/>
          <w:szCs w:val="36"/>
          <w:u w:val="none"/>
          <w:lang w:val="en-US" w:eastAsia="zh-CN"/>
        </w:rPr>
        <w:t>5</w:t>
      </w:r>
      <w:r>
        <w:rPr>
          <w:rFonts w:hint="default" w:ascii="Times New Roman" w:hAnsi="Times New Roman" w:cs="Times New Roman"/>
          <w:i w:val="0"/>
          <w:iCs w:val="0"/>
          <w:sz w:val="32"/>
          <w:szCs w:val="36"/>
          <w:u w:val="none"/>
          <w:lang w:val="en-US" w:eastAsia="zh-CN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1、目前宝锐可冻干产品中，适用于生物样本直扩，并且可以进行全组分冻干的产品货号是（D）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A、FMD2071    B、FMD5104     C、FMD2091    D、FMD2111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2、目前宝锐冻干成品检主要包括以下几个方面（A、B、C）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 xml:space="preserve">A、冻干样品外观目检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B、冻干样品灵敏度检测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C、冻干样品批检差异检测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 xml:space="preserve">D、冻干样品含水量测定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3、冻干外包服务流程中，以下说法正确的是（A、B、C、D）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 xml:space="preserve">A、前期对接客户过程中，需销售部同事在接收客户冻干需求后在《客户定制服务信息》表中登记相关客户信息；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B、 应用研究部接收到客户试剂后需在《客户试剂接收信息》填写登记相关信息；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C、客户来料功能检 :客户需提供客户提供引探配制说明、模板使用说明，以及客户前期测试液体试剂扩增性能报告（供宝锐参考）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 xml:space="preserve">D、客户功能检合格后才能配制冻干体系上机冻干，冻干样品出箱后目检、功能检合格后才可发货，否则按不合格品处理。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4、宝锐不承接以下哪种冻干服务（B、C）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A、客户使用宝锐酶、Buffer、冻干保护剂进行冻干；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B、客户使用宝锐的酶，冻干保护剂，搭配客户自己优化的Buffer；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C、客户自己提供酶、Buffer、冻干保护剂(非宝锐试剂)；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 xml:space="preserve">D、客户使用宝锐试剂，并提供相应引探及冻干程序。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CA1915"/>
    <w:multiLevelType w:val="singleLevel"/>
    <w:tmpl w:val="C4CA191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lMzVkM2MwMmU5YjVmNWUyNzU5YTliYWEzYWFiZDIifQ=="/>
  </w:docVars>
  <w:rsids>
    <w:rsidRoot w:val="0196052F"/>
    <w:rsid w:val="0196052F"/>
    <w:rsid w:val="19B55D98"/>
    <w:rsid w:val="2D78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785</Words>
  <Characters>871</Characters>
  <Lines>0</Lines>
  <Paragraphs>0</Paragraphs>
  <TotalTime>111</TotalTime>
  <ScaleCrop>false</ScaleCrop>
  <LinksUpToDate>false</LinksUpToDate>
  <CharactersWithSpaces>1093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2023-02-23T14:30:00Z</dcterms:created>
  <dc:creator>将离</dc:creator>
  <cp:lastModifiedBy>将离</cp:lastModifiedBy>
  <dcterms:modified xsi:type="dcterms:W3CDTF">2023-02-25T08:50:04Z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44B5A48E6ED44FD98A345A67CC669A7B</vt:lpwstr>
  </property>
</Properties>
</file>