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修订版说明</w:t>
      </w:r>
    </w:p>
    <w:p>
      <w:r>
        <w:rPr>
          <w:b/>
        </w:rPr>
        <w:t>修订日期：</w:t>
      </w:r>
      <w:r>
        <w:t>2026年7月8日</w:t>
      </w:r>
    </w:p>
    <w:p>
      <w:r>
        <w:rPr>
          <w:b/>
        </w:rPr>
        <w:t>修订人：</w:t>
      </w:r>
      <w:r>
        <w:t>宝锐生物法务/销售管理部</w:t>
      </w:r>
    </w:p>
    <w:p>
      <w:r>
        <w:rPr>
          <w:b/>
        </w:rPr>
        <w:t>修订文件：</w:t>
      </w:r>
      <w:r>
        <w:t>原料开发合作协议（珠海丽珠试剂↔珠海宝锐生物）</w:t>
      </w:r>
    </w:p>
    <w:p/>
    <w:p>
      <w:r>
        <w:rPr>
          <w:b/>
        </w:rPr>
        <w:t>图例：</w:t>
      </w:r>
      <w:r>
        <w:rPr>
          <w:strike/>
          <w:color w:val="CC0000"/>
        </w:rPr>
        <w:t xml:space="preserve">  🔴 红色删除线 = 删除原文  </w:t>
      </w:r>
      <w:r>
        <w:rPr>
          <w:color w:val="0066CC"/>
        </w:rPr>
        <w:t xml:space="preserve">  🔵 蓝色 = 新增内容  </w:t>
      </w:r>
      <w:r>
        <w:rPr>
          <w:i/>
          <w:color w:val="993300"/>
        </w:rPr>
        <w:t xml:space="preserve">  🟤 棕色斜体 = 修订理由</w:t>
      </w:r>
    </w:p>
    <w:p>
      <w:r>
        <w:br w:type="page"/>
      </w:r>
    </w:p>
    <w:p>
      <w:pPr>
        <w:pStyle w:val="Heading2"/>
      </w:pPr>
      <w:r>
        <w:rPr>
          <w:color w:val="1A73E8"/>
        </w:rPr>
        <w:t>修订一：新增价格调整机制（第四条4.1）</w:t>
      </w:r>
    </w:p>
    <w:p>
      <w:r>
        <w:rPr>
          <w:i/>
          <w:color w:val="993300"/>
          <w:sz w:val="18"/>
        </w:rPr>
        <w:t>【修订说明：原条款3年完全锁价，无任何调整出口。原材料、人力成本可能大幅波动，宝锐面临成本风险敞口。新增触发条件的调价机制，对等保护双方利益。】</w:t>
      </w:r>
    </w:p>
    <w:p/>
    <w:p>
      <w:pPr>
        <w:pStyle w:val="Heading3"/>
      </w:pPr>
      <w:r>
        <w:rPr>
          <w:color w:val="1A73E8"/>
        </w:rPr>
        <w:t>原文（将被扩充）：</w:t>
      </w:r>
    </w:p>
    <w:p>
      <w:r>
        <w:t>基于本协议约定项目合作形式，及排他性供货方案，甲方承诺在HIV核酸病毒载量检测系列产品上，乙方为独家供应商。乙方当前给甲方供货的HIV核酸病毒载量检测原料（乙方原料货号：2FM101-1）及甲方选用的乙方已有的原料（当前乙方原料货号：FMD8104-074901-TP，后续如发生专用货号变更，可采用备忘录形式另行补充），在本协议签订的3年内，供应量未增加2倍及以上时，价格维持不变，供应量增加3倍范围内时，价格降低幅度不超过20%，供应量增加3倍及以上或年供应量低于2025年的70%，双方再另行约定；</w:t>
      </w:r>
    </w:p>
    <w:p/>
    <w:p>
      <w:pPr>
        <w:pStyle w:val="Heading3"/>
      </w:pPr>
      <w:r>
        <w:rPr>
          <w:color w:val="1A73E8"/>
        </w:rPr>
        <w:t>修订后（在原文末尾增加以下内容）：</w:t>
      </w:r>
    </w:p>
    <w:p>
      <w:r>
        <w:t>基于本协议约定项目合作形式，及排他性供货方案，甲方承诺在HIV核酸病毒载量检测系列产品上，乙方为独家供应商。乙方当前给甲方供货的HIV核酸病毒载量检测原料（乙方原料货号：2FM101-1）及甲方选用的乙方已有的原料（当前乙方原料货号：FMD8104-074901-TP，后续如发生专用货号变更，可采用备忘录形式另行补充），在本协议签订的3年内，供应量未增加2倍及以上时，价格维持不变，供应量增加3倍范围内时，价格降低幅度不超过20%，供应量增加3倍及以上或年供应量低于2025年的70%，双方再另行约定。</w:t>
      </w:r>
    </w:p>
    <w:p/>
    <w:p>
      <w:r>
        <w:br/>
      </w:r>
      <w:r>
        <w:rPr>
          <w:b w:val="0"/>
          <w:color w:val="0066CC"/>
        </w:rPr>
        <w:t>【新增】价格调整机制：如遇以下情形之一，任一方可提出价格复核：</w:t>
        <w:br/>
        <w:t>（1）主要原材料（包括但不限于Tth酶原料、冻干保护剂等）采购价格上涨或下跌幅度超过15%；</w:t>
        <w:br/>
        <w:t>（2）因国家税收政策、环保法规等调整导致生产成本变动超过10%；</w:t>
        <w:br/>
        <w:t>（3）本协议生效满12个月后，任一方可提出年度价格复核，每年不超过一次。</w:t>
        <w:br/>
        <w:t>提出方应提供相关成本变动的证明材料（如供应商调价函、公开市场报价、行业指数等），双方在30日内友好协商确定调整方案。协商不成的，维持原价格继续履行，或任一方可提前90日书面通知终止本协议（不视为违约）。</w:t>
      </w:r>
    </w:p>
    <w:p>
      <w:r>
        <w:br w:type="page"/>
      </w:r>
    </w:p>
    <w:p>
      <w:pPr>
        <w:pStyle w:val="Heading2"/>
      </w:pPr>
      <w:r>
        <w:rPr>
          <w:color w:val="1A73E8"/>
        </w:rPr>
        <w:t>修订二：保密期限延长（第六条6.2）</w:t>
      </w:r>
    </w:p>
    <w:p>
      <w:r>
        <w:rPr>
          <w:i/>
          <w:color w:val="993300"/>
          <w:sz w:val="18"/>
        </w:rPr>
        <w:t>【修订说明：原条款保密期仅1年，对Tth酶配方、冻干工艺等核心商业秘密保护不足。修订为3年，确保协议终止后仍有基本保护期。】</w:t>
      </w:r>
    </w:p>
    <w:p/>
    <w:p>
      <w:pPr>
        <w:pStyle w:val="Heading3"/>
      </w:pPr>
      <w:r>
        <w:rPr>
          <w:color w:val="1A73E8"/>
        </w:rPr>
        <w:t>原文：</w:t>
      </w:r>
    </w:p>
    <w:p>
      <w:r>
        <w:t>6.2 未经对方书面许可，任何一方不得向第三方泄露上述保密信息。本协议终止后，保密义务持续</w:t>
      </w:r>
      <w:r>
        <w:rPr>
          <w:strike/>
          <w:color w:val="CC0000"/>
        </w:rPr>
        <w:t>一年</w:t>
      </w:r>
      <w:r>
        <w:t>。</w:t>
      </w:r>
    </w:p>
    <w:p/>
    <w:p>
      <w:pPr>
        <w:pStyle w:val="Heading3"/>
      </w:pPr>
      <w:r>
        <w:rPr>
          <w:color w:val="1A73E8"/>
        </w:rPr>
        <w:t>修订后：</w:t>
      </w:r>
    </w:p>
    <w:p>
      <w:r>
        <w:t>6.2 未经对方书面许可，任何一方不得向第三方泄露上述保密信息。本协议终止后，保密义务持续</w:t>
      </w:r>
      <w:r>
        <w:rPr>
          <w:b w:val="0"/>
          <w:color w:val="0066CC"/>
        </w:rPr>
        <w:t>三年</w:t>
      </w:r>
      <w:r>
        <w:t>。</w:t>
      </w:r>
    </w:p>
    <w:p>
      <w:r>
        <w:br w:type="page"/>
      </w:r>
    </w:p>
    <w:p>
      <w:pPr>
        <w:pStyle w:val="Heading2"/>
      </w:pPr>
      <w:r>
        <w:rPr>
          <w:color w:val="1A73E8"/>
        </w:rPr>
        <w:t>修订三：争议管辖（第八条）</w:t>
      </w:r>
    </w:p>
    <w:p>
      <w:r>
        <w:rPr>
          <w:i/>
          <w:color w:val="993300"/>
          <w:sz w:val="18"/>
        </w:rPr>
        <w:t>【修订说明：原条款约定"甲方所在地人民法院"，如丽珠搬迁或指定管辖，宝锐面临异地应诉风险。宝锐与丽珠同处珠海，改为"珠海市"对双方公平。】</w:t>
      </w:r>
    </w:p>
    <w:p/>
    <w:p>
      <w:pPr>
        <w:pStyle w:val="Heading3"/>
      </w:pPr>
      <w:r>
        <w:rPr>
          <w:color w:val="1A73E8"/>
        </w:rPr>
        <w:t>原文：</w:t>
      </w:r>
    </w:p>
    <w:p>
      <w:r>
        <w:t>因本协议产生或与本协议相关的一切争议，双方优先友好协商解决；协商不成的，任何一方均有权向</w:t>
      </w:r>
      <w:r>
        <w:rPr>
          <w:strike/>
          <w:color w:val="CC0000"/>
        </w:rPr>
        <w:t>甲方所在地</w:t>
      </w:r>
      <w:r>
        <w:t>人民法院提起诉讼。</w:t>
      </w:r>
    </w:p>
    <w:p/>
    <w:p>
      <w:pPr>
        <w:pStyle w:val="Heading3"/>
      </w:pPr>
      <w:r>
        <w:rPr>
          <w:color w:val="1A73E8"/>
        </w:rPr>
        <w:t>修订后：</w:t>
      </w:r>
    </w:p>
    <w:p>
      <w:r>
        <w:t>因本协议产生或与本协议相关的一切争议，双方优先友好协商解决；协商不成的，任何一方均有权向</w:t>
      </w:r>
      <w:r>
        <w:rPr>
          <w:b w:val="0"/>
          <w:color w:val="0066CC"/>
        </w:rPr>
        <w:t>珠海市有管辖权</w:t>
      </w:r>
      <w:r>
        <w:t>人民法院提起诉讼。</w:t>
      </w:r>
    </w:p>
    <w:p>
      <w:r>
        <w:br w:type="page"/>
      </w:r>
    </w:p>
    <w:p>
      <w:pPr>
        <w:pStyle w:val="Heading1"/>
      </w:pPr>
      <w:r>
        <w:rPr>
          <w:color w:val="1A73E8"/>
        </w:rPr>
        <w:t>修订汇总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序号</w:t>
            </w:r>
          </w:p>
        </w:tc>
        <w:tc>
          <w:tcPr>
            <w:tcW w:type="dxa" w:w="2160"/>
          </w:tcPr>
          <w:p>
            <w:r>
              <w:rPr>
                <w:b/>
              </w:rPr>
              <w:t>条款</w:t>
            </w:r>
          </w:p>
        </w:tc>
        <w:tc>
          <w:tcPr>
            <w:tcW w:type="dxa" w:w="2160"/>
          </w:tcPr>
          <w:p>
            <w:r>
              <w:rPr>
                <w:b/>
              </w:rPr>
              <w:t>修订类型</w:t>
            </w:r>
          </w:p>
        </w:tc>
        <w:tc>
          <w:tcPr>
            <w:tcW w:type="dxa" w:w="216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第四条4.1</w:t>
            </w:r>
          </w:p>
        </w:tc>
        <w:tc>
          <w:tcPr>
            <w:tcW w:type="dxa" w:w="2160"/>
          </w:tcPr>
          <w:p>
            <w:r>
              <w:t>新增</w:t>
            </w:r>
          </w:p>
        </w:tc>
        <w:tc>
          <w:tcPr>
            <w:tcW w:type="dxa" w:w="2160"/>
          </w:tcPr>
          <w:p>
            <w:r>
              <w:t>价格调整机制：3年锁价增加三种触发条件的调价出口（原料涨跌&gt;15%、政策变动&gt;10%、年度复核）</w:t>
            </w:r>
          </w:p>
        </w:tc>
      </w:tr>
      <w:tr>
        <w:tc>
          <w:tcPr>
            <w:tcW w:type="dxa" w:w="2160"/>
          </w:tcPr>
          <w:p>
            <w:r>
              <w:t>2</w:t>
            </w:r>
          </w:p>
        </w:tc>
        <w:tc>
          <w:tcPr>
            <w:tcW w:type="dxa" w:w="2160"/>
          </w:tcPr>
          <w:p>
            <w:r>
              <w:t>第六条6.2</w:t>
            </w:r>
          </w:p>
        </w:tc>
        <w:tc>
          <w:tcPr>
            <w:tcW w:type="dxa" w:w="2160"/>
          </w:tcPr>
          <w:p>
            <w:r>
              <w:t>修改</w:t>
            </w:r>
          </w:p>
        </w:tc>
        <w:tc>
          <w:tcPr>
            <w:tcW w:type="dxa" w:w="2160"/>
          </w:tcPr>
          <w:p>
            <w:r>
              <w:t>保密期限：1年→3年</w:t>
            </w:r>
          </w:p>
        </w:tc>
      </w:tr>
      <w:tr>
        <w:tc>
          <w:tcPr>
            <w:tcW w:type="dxa" w:w="2160"/>
          </w:tcPr>
          <w:p>
            <w:r>
              <w:t>3</w:t>
            </w:r>
          </w:p>
        </w:tc>
        <w:tc>
          <w:tcPr>
            <w:tcW w:type="dxa" w:w="2160"/>
          </w:tcPr>
          <w:p>
            <w:r>
              <w:t>第八条</w:t>
            </w:r>
          </w:p>
        </w:tc>
        <w:tc>
          <w:tcPr>
            <w:tcW w:type="dxa" w:w="2160"/>
          </w:tcPr>
          <w:p>
            <w:r>
              <w:t>修改</w:t>
            </w:r>
          </w:p>
        </w:tc>
        <w:tc>
          <w:tcPr>
            <w:tcW w:type="dxa" w:w="2160"/>
          </w:tcPr>
          <w:p>
            <w:r>
              <w:t>争议管辖：甲方所在地→珠海市有管辖权</w:t>
            </w:r>
          </w:p>
        </w:tc>
      </w:tr>
    </w:tbl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imSun" w:hAnsi="SimSu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