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E83D7">
      <w:pPr>
        <w:rPr>
          <w:rFonts w:hint="eastAsia" w:ascii="Songti SC Regular" w:hAnsi="Songti SC Regular" w:eastAsia="Songti SC Regular" w:cs="Songti SC Regular"/>
        </w:rPr>
      </w:pPr>
    </w:p>
    <w:p w14:paraId="15B79802">
      <w:pPr>
        <w:jc w:val="center"/>
        <w:rPr>
          <w:rFonts w:hint="eastAsia" w:ascii="Songti SC Regular" w:hAnsi="Songti SC Regular" w:eastAsia="Songti SC Regular" w:cs="Songti SC Regular"/>
        </w:rPr>
      </w:pPr>
      <w:r>
        <w:rPr>
          <w:rFonts w:hint="eastAsia" w:ascii="Songti SC Regular" w:hAnsi="Songti SC Regular" w:eastAsia="Songti SC Regular" w:cs="Songti SC Regular"/>
          <w:b/>
          <w:sz w:val="48"/>
        </w:rPr>
        <w:t>订单评审管理制度</w:t>
      </w:r>
      <w:r>
        <w:rPr>
          <w:rFonts w:hint="eastAsia" w:ascii="Songti SC Regular" w:hAnsi="Songti SC Regular" w:eastAsia="Songti SC Regular" w:cs="Songti SC Regular"/>
          <w:b/>
          <w:sz w:val="48"/>
        </w:rPr>
        <w:br w:type="textWrapping"/>
      </w:r>
      <w:r>
        <w:rPr>
          <w:rFonts w:hint="eastAsia" w:ascii="Songti SC Regular" w:hAnsi="Songti SC Regular" w:eastAsia="Songti SC Regular" w:cs="Songti SC Regular"/>
          <w:b/>
          <w:sz w:val="48"/>
        </w:rPr>
        <w:t>销售总监批注版</w:t>
      </w:r>
    </w:p>
    <w:p w14:paraId="31B8982F">
      <w:pPr>
        <w:jc w:val="center"/>
        <w:rPr>
          <w:rFonts w:hint="eastAsia" w:ascii="Songti SC Regular" w:hAnsi="Songti SC Regular" w:eastAsia="Songti SC Regular" w:cs="Songti SC Regular"/>
        </w:rPr>
      </w:pPr>
      <w:r>
        <w:rPr>
          <w:rFonts w:hint="eastAsia" w:ascii="Songti SC Regular" w:hAnsi="Songti SC Regular" w:eastAsia="Songti SC Regular" w:cs="Songti SC Regular"/>
          <w:sz w:val="22"/>
        </w:rPr>
        <w:t>文件：CA-03-20 订单评审管理制度-征求意见稿</w:t>
      </w:r>
      <w:r>
        <w:rPr>
          <w:rFonts w:hint="eastAsia" w:ascii="Songti SC Regular" w:hAnsi="Songti SC Regular" w:eastAsia="Songti SC Regular" w:cs="Songti SC Regular"/>
          <w:sz w:val="22"/>
        </w:rPr>
        <w:br w:type="textWrapping"/>
      </w:r>
      <w:r>
        <w:rPr>
          <w:rFonts w:hint="eastAsia" w:ascii="Songti SC Regular" w:hAnsi="Songti SC Regular" w:eastAsia="Songti SC Regular" w:cs="Songti SC Regular"/>
          <w:sz w:val="22"/>
        </w:rPr>
        <w:t>附：订单评审表-计划通过钉钉审批流</w:t>
      </w:r>
      <w:r>
        <w:rPr>
          <w:rFonts w:hint="eastAsia" w:ascii="Songti SC Regular" w:hAnsi="Songti SC Regular" w:eastAsia="Songti SC Regular" w:cs="Songti SC Regular"/>
          <w:sz w:val="22"/>
        </w:rPr>
        <w:br w:type="textWrapping"/>
      </w:r>
      <w:r>
        <w:rPr>
          <w:rFonts w:hint="eastAsia" w:ascii="Songti SC Regular" w:hAnsi="Songti SC Regular" w:eastAsia="Songti SC Regular" w:cs="Songti SC Regular"/>
          <w:sz w:val="22"/>
        </w:rPr>
        <w:br w:type="textWrapping"/>
      </w:r>
      <w:r>
        <w:rPr>
          <w:rFonts w:hint="eastAsia" w:ascii="Songti SC Regular" w:hAnsi="Songti SC Regular" w:eastAsia="Songti SC Regular" w:cs="Songti SC Regular"/>
          <w:sz w:val="22"/>
        </w:rPr>
        <w:t>审批人：销售总监 刘新元</w:t>
      </w:r>
      <w:r>
        <w:rPr>
          <w:rFonts w:hint="eastAsia" w:ascii="Songti SC Regular" w:hAnsi="Songti SC Regular" w:eastAsia="Songti SC Regular" w:cs="Songti SC Regular"/>
          <w:sz w:val="22"/>
        </w:rPr>
        <w:br w:type="textWrapping"/>
      </w:r>
      <w:r>
        <w:rPr>
          <w:rFonts w:hint="eastAsia" w:ascii="Songti SC Regular" w:hAnsi="Songti SC Regular" w:eastAsia="Songti SC Regular" w:cs="Songti SC Regular"/>
          <w:sz w:val="22"/>
        </w:rPr>
        <w:t>日期：2026-07-23</w:t>
      </w:r>
    </w:p>
    <w:p w14:paraId="3D77F6FB">
      <w:pPr>
        <w:rPr>
          <w:rFonts w:hint="eastAsia" w:ascii="Songti SC Regular" w:hAnsi="Songti SC Regular" w:eastAsia="Songti SC Regular" w:cs="Songti SC Regular"/>
        </w:rPr>
      </w:pPr>
      <w:r>
        <w:rPr>
          <w:rFonts w:hint="eastAsia" w:ascii="Songti SC Regular" w:hAnsi="Songti SC Regular" w:eastAsia="Songti SC Regular" w:cs="Songti SC Regular"/>
        </w:rPr>
        <w:br w:type="page"/>
      </w:r>
    </w:p>
    <w:p w14:paraId="506044D0">
      <w:pPr>
        <w:pStyle w:val="3"/>
        <w:rPr>
          <w:rFonts w:hint="eastAsia" w:ascii="Songti SC Regular" w:hAnsi="Songti SC Regular" w:eastAsia="Songti SC Regular" w:cs="Songti SC Regular"/>
        </w:rPr>
      </w:pPr>
      <w:r>
        <w:rPr>
          <w:rFonts w:hint="eastAsia" w:ascii="Songti SC Regular" w:hAnsi="Songti SC Regular" w:eastAsia="Songti SC Regular" w:cs="Songti SC Regular"/>
        </w:rPr>
        <w:t>一、总体评价</w:t>
      </w:r>
    </w:p>
    <w:p w14:paraId="6F7E196A">
      <w:pPr>
        <w:rPr>
          <w:rFonts w:hint="eastAsia" w:ascii="Songti SC Regular" w:hAnsi="Songti SC Regular" w:eastAsia="Songti SC Regular" w:cs="Songti SC Regular"/>
        </w:rPr>
      </w:pPr>
      <w:r>
        <w:rPr>
          <w:rFonts w:hint="eastAsia" w:ascii="Songti SC Regular" w:hAnsi="Songti SC Regular" w:eastAsia="Songti SC Regular" w:cs="Songti SC Regular"/>
        </w:rPr>
        <w:t>制度框架完整，评审要素覆盖全面，非标/标准双通道设计合理。但从销售视角看，存在以下结构性问题和执行风险，需在发布前修正。</w:t>
      </w:r>
    </w:p>
    <w:p w14:paraId="389D625C">
      <w:pPr>
        <w:rPr>
          <w:rFonts w:hint="eastAsia" w:ascii="Songti SC Regular" w:hAnsi="Songti SC Regular" w:eastAsia="Songti SC Regular" w:cs="Songti SC Regular"/>
        </w:rPr>
      </w:pPr>
    </w:p>
    <w:p w14:paraId="6F4E3B51">
      <w:pPr>
        <w:pStyle w:val="3"/>
        <w:rPr>
          <w:rFonts w:hint="eastAsia" w:ascii="Songti SC Regular" w:hAnsi="Songti SC Regular" w:eastAsia="Songti SC Regular" w:cs="Songti SC Regular"/>
        </w:rPr>
      </w:pPr>
      <w:r>
        <w:rPr>
          <w:rFonts w:hint="eastAsia" w:ascii="Songti SC Regular" w:hAnsi="Songti SC Regular" w:eastAsia="Songti SC Regular" w:cs="Songti SC Regular"/>
        </w:rPr>
        <w:t>二、逐条批注</w:t>
      </w:r>
    </w:p>
    <w:p w14:paraId="62B70533">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2. 范围 — "5万以下免评审"门槛</w:t>
      </w:r>
    </w:p>
    <w:p w14:paraId="6852D67B">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7A82A67E">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金额/数量低于5万、且为客户重复采购的标准产品。</w:t>
      </w:r>
    </w:p>
    <w:p w14:paraId="36126F95">
      <w:pPr>
        <w:rPr>
          <w:rFonts w:hint="default" w:ascii="Songti SC Regular" w:hAnsi="Songti SC Regular" w:eastAsia="Songti SC Regular" w:cs="Songti SC Regular"/>
          <w:lang w:val="en-US" w:eastAsia="zh-CN"/>
        </w:rPr>
      </w:pPr>
      <w:r>
        <w:rPr>
          <w:rFonts w:hint="eastAsia" w:ascii="Songti SC Regular" w:hAnsi="Songti SC Regular" w:eastAsia="Songti SC Regular" w:cs="Songti SC Regular"/>
          <w:b/>
          <w:sz w:val="22"/>
        </w:rPr>
        <w:t xml:space="preserve">🔴 必须修改 </w:t>
      </w:r>
      <w:r>
        <w:rPr>
          <w:rFonts w:hint="eastAsia" w:ascii="Songti SC Regular" w:hAnsi="Songti SC Regular" w:eastAsia="Songti SC Regular" w:cs="Songti SC Regular"/>
          <w:sz w:val="20"/>
        </w:rPr>
        <w:t>🔴 致命风险。</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1. ¥50,000 阈值在诊断原料行业极低——一支Taq酶大包装（DG级）单次采购即可超过此金额。这意味着大量订单将绕过评审。</w:t>
      </w:r>
      <w:r>
        <w:rPr>
          <w:rFonts w:hint="eastAsia" w:ascii="Songti SC Regular" w:hAnsi="Songti SC Regular" w:eastAsia="Songti SC Regular" w:cs="Songti SC Regular"/>
          <w:sz w:val="20"/>
          <w:lang w:val="en-US" w:eastAsia="zh-CN"/>
        </w:rPr>
        <w:t>订单评审的出发点包括了通过评审把占用资源大于销售利润的订单要求卡住，并提出优化建议，再把优化需求后的订单接回来。从业务规律来看，大于5万的单子通常已经是成熟客户的成熟订单，即使有特殊需求，利润空间也足够覆盖大部分定制需求。反而是小于5万的很多订单，未形成稳定需求，商议空间更大，且更容易形成投入产出倒挂，更应该列入审核范围。</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2. 建议改为：</w:t>
      </w:r>
      <w:r>
        <w:rPr>
          <w:rFonts w:hint="eastAsia" w:ascii="Songti SC Regular" w:hAnsi="Songti SC Regular" w:eastAsia="Songti SC Regular" w:cs="Songti SC Regular"/>
          <w:sz w:val="20"/>
          <w:lang w:val="en-US" w:eastAsia="zh-CN"/>
        </w:rPr>
        <w:t>1万以内订单的定制需求，由销售、技术、质量、生产对齐信息，由销售总监确认是否接受，由质量输出纪要即可。1万以上订单的特殊需求需走正规评审。</w:t>
      </w:r>
      <w:bookmarkStart w:id="0" w:name="_GoBack"/>
      <w:bookmarkEnd w:id="0"/>
    </w:p>
    <w:p w14:paraId="5868506E">
      <w:pPr>
        <w:rPr>
          <w:rFonts w:hint="eastAsia" w:ascii="Songti SC Regular" w:hAnsi="Songti SC Regular" w:eastAsia="Songti SC Regular" w:cs="Songti SC Regular"/>
        </w:rPr>
      </w:pPr>
    </w:p>
    <w:p w14:paraId="554FE2A7">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2. 范围 — 订单类型定义过于学术化</w:t>
      </w:r>
    </w:p>
    <w:p w14:paraId="1B8461B6">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55529D14">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标准订单：产品目录内成品或物料的常规销售订单… 非标订单：含客户特殊定制内容…</w:t>
      </w:r>
    </w:p>
    <w:p w14:paraId="166BD8B0">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建议优化 </w:t>
      </w:r>
      <w:r>
        <w:rPr>
          <w:rFonts w:hint="eastAsia" w:ascii="Songti SC Regular" w:hAnsi="Songti SC Regular" w:eastAsia="Songti SC Regular" w:cs="Songti SC Regular"/>
          <w:sz w:val="20"/>
        </w:rPr>
        <w:t>🟡 对一线销售不友好。</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销售员拿到订单后要翻制度判断"标准 vs 非标"，再判断"非标中的哪个子类"，这在实际工作中几乎不可行。</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建议：做一个"订单评审决策树"（1页A4），销售只需回答3个Yes/No问题就能确定通道：</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① 产品是现有目录成品？Yes→标准 / No→往下</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② 客户有定制要求？No→标准 / Yes→往下</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③ 涉及法规/注册变更？No→非标轻量 / Yes→非标全量</w:t>
      </w:r>
    </w:p>
    <w:p w14:paraId="34AFDECD">
      <w:pPr>
        <w:rPr>
          <w:rFonts w:hint="eastAsia" w:ascii="Songti SC Regular" w:hAnsi="Songti SC Regular" w:eastAsia="Songti SC Regular" w:cs="Songti SC Regular"/>
        </w:rPr>
      </w:pPr>
    </w:p>
    <w:p w14:paraId="42CF7C23">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4. 职责 — "销售牵头"但责任归属模糊</w:t>
      </w:r>
    </w:p>
    <w:p w14:paraId="03EBA695">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764B16DA">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销售（主导）负责订单/合同的接收、登记与初审；负责组织跨部门评审… 组长由销售负责人担任。</w:t>
      </w:r>
    </w:p>
    <w:p w14:paraId="73DCCB32">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建议优化 </w:t>
      </w:r>
      <w:r>
        <w:rPr>
          <w:rFonts w:hint="eastAsia" w:ascii="Songti SC Regular" w:hAnsi="Songti SC Regular" w:eastAsia="Songti SC Regular" w:cs="Songti SC Regular"/>
          <w:sz w:val="20"/>
        </w:rPr>
        <w:t>🟡 牵头≠担责。</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制度写明销售"组织评审"，但未明确：评审结论的形成以谁的意见为准？各部门意见冲突时谁裁决？</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当前写法容易导致：订单出问题→生产说"我评审过了但销售没听"→销售说"各部门都签了我只是汇总"→责任碎片化。</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建议在"4.10 跨部门订单评审小组"中增加："评审组长对评审结论负最终责任。各部门评审意见以书面签批为准，签批视为对该订单在本部门职责范围内的确认。"</w:t>
      </w:r>
    </w:p>
    <w:p w14:paraId="5169A33B">
      <w:pPr>
        <w:rPr>
          <w:rFonts w:hint="eastAsia" w:ascii="Songti SC Regular" w:hAnsi="Songti SC Regular" w:eastAsia="Songti SC Regular" w:cs="Songti SC Regular"/>
        </w:rPr>
      </w:pPr>
    </w:p>
    <w:p w14:paraId="765C7490">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5.3.2 非标订单评审流程 — 10个步骤过长</w:t>
      </w:r>
    </w:p>
    <w:p w14:paraId="4386E129">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72DE5C7E">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5.3.2.1~5.3.2.10 共10步</w:t>
      </w:r>
    </w:p>
    <w:p w14:paraId="7F8F76B6">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必须修改 </w:t>
      </w:r>
      <w:r>
        <w:rPr>
          <w:rFonts w:hint="eastAsia" w:ascii="Songti SC Regular" w:hAnsi="Songti SC Regular" w:eastAsia="Songti SC Regular" w:cs="Songti SC Regular"/>
          <w:sz w:val="20"/>
        </w:rPr>
        <w:t>🔴 严重影响销售效率。</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10步评审流程在实际执行中意味着一个非标订单从接单到承诺需要3-7个工作日。对于竞争激烈的诊断原料市场，客户等不了这么久。</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建议：</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1. 非标订单按定制复杂度再分两档："轻度非标"（仅配方</w:t>
      </w:r>
      <w:r>
        <w:rPr>
          <w:rFonts w:hint="eastAsia" w:ascii="Songti SC Regular" w:hAnsi="Songti SC Regular" w:eastAsia="Songti SC Regular" w:cs="Songti SC Regular"/>
          <w:sz w:val="20"/>
          <w:lang w:val="en-US" w:eastAsia="zh-CN"/>
        </w:rPr>
        <w:t>拆分</w:t>
      </w:r>
      <w:r>
        <w:rPr>
          <w:rFonts w:hint="eastAsia" w:ascii="Songti SC Regular" w:hAnsi="Songti SC Regular" w:eastAsia="Songti SC Regular" w:cs="Songti SC Regular"/>
          <w:sz w:val="20"/>
        </w:rPr>
        <w:t>/包装定制，3步走）vs "重度非标"（涉及法规/开发，全流程）</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2. 明确各步骤时限：技术确认不超过1个工作日，财务核算不超过0.5个工作日</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3. 引入"并行评审"：技术确认与法规符合性可同步进行（而非串行）</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4. 目标：轻度非标≤1个工作日，重度非标≤3个工作日</w:t>
      </w:r>
    </w:p>
    <w:p w14:paraId="54BA01F6">
      <w:pPr>
        <w:rPr>
          <w:rFonts w:hint="eastAsia" w:ascii="Songti SC Regular" w:hAnsi="Songti SC Regular" w:eastAsia="Songti SC Regular" w:cs="Songti SC Regular"/>
        </w:rPr>
      </w:pPr>
    </w:p>
    <w:p w14:paraId="7508D34D">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5.3.2.6 财务核算"靠后" — 对销售不友好</w:t>
      </w:r>
    </w:p>
    <w:p w14:paraId="061556CC">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33A04A69">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在产品形式与规格确认之后，财务核算成本并出具价格/信用意见。</w:t>
      </w:r>
    </w:p>
    <w:p w14:paraId="5ADED423">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建议优化 </w:t>
      </w:r>
      <w:r>
        <w:rPr>
          <w:rFonts w:hint="eastAsia" w:ascii="Songti SC Regular" w:hAnsi="Songti SC Regular" w:eastAsia="Songti SC Regular" w:cs="Songti SC Regular"/>
          <w:sz w:val="20"/>
        </w:rPr>
        <w:t>🟡 逻辑正确但风险大。</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技术确认→合规→产能都过了，财务一核算发现毛利太低或客户信用超限，前面的评审全部白做。销售投入了大量时间协调各部门后被告知"价格不行"，挫败感极强。</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建议：财务在5.3.2.3技术确认阶段即做"预审"——提供价格区间和信用预警。正式核算放在后面OK，但必须前置一个"快速红灯"机制：如果价格明显不可行或信用已超限，直接终止评审，不让销售做无用工。</w:t>
      </w:r>
    </w:p>
    <w:p w14:paraId="2A6DF6DD">
      <w:pPr>
        <w:rPr>
          <w:rFonts w:hint="eastAsia" w:ascii="Songti SC Regular" w:hAnsi="Songti SC Regular" w:eastAsia="Songti SC Regular" w:cs="Songti SC Regular"/>
        </w:rPr>
      </w:pPr>
    </w:p>
    <w:p w14:paraId="72E06161">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5.5 紧急订单 — "24小时补全"过于宽松</w:t>
      </w:r>
    </w:p>
    <w:p w14:paraId="6D01DCAB">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55B919C6">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经主管授权后，先书面确认关键要素（法规、产能），其余要素须在事后 24 小时内补全</w:t>
      </w:r>
    </w:p>
    <w:p w14:paraId="72F8480F">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必须修改 </w:t>
      </w:r>
      <w:r>
        <w:rPr>
          <w:rFonts w:hint="eastAsia" w:ascii="Songti SC Regular" w:hAnsi="Songti SC Regular" w:eastAsia="Songti SC Regular" w:cs="Songti SC Regular"/>
          <w:sz w:val="20"/>
        </w:rPr>
        <w:t>🔴 必须修改。</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① "主管授权"——哪个主管？销售主管？生产主管？权限不清。建议明确为"销售总监或其授权人"。</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② "24小时补全"——实际不可操作。紧急订单事后补评审几乎不会发生（大家忙着处理下一单），24小时后大概率变成"永久未评审"。</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③ 建议改为：紧急订单经销售总监批准后可先行承诺，但须在2个工作日内完成全流程评审，超期未补的由销售负责人承担后续风险。同时紧急订单比例应控制在月度订单总数的10%以内，超额需向总经理说明。</w:t>
      </w:r>
    </w:p>
    <w:p w14:paraId="535D12B6">
      <w:pPr>
        <w:rPr>
          <w:rFonts w:hint="eastAsia" w:ascii="Songti SC Regular" w:hAnsi="Songti SC Regular" w:eastAsia="Songti SC Regular" w:cs="Songti SC Regular"/>
        </w:rPr>
      </w:pPr>
    </w:p>
    <w:p w14:paraId="3F5BE93B">
      <w:pPr>
        <w:rPr>
          <w:rFonts w:hint="eastAsia" w:ascii="Songti SC Regular" w:hAnsi="Songti SC Regular" w:eastAsia="Songti SC Regular" w:cs="Songti SC Regular"/>
        </w:rPr>
      </w:pPr>
      <w:r>
        <w:rPr>
          <w:rFonts w:hint="eastAsia" w:ascii="Songti SC Regular" w:hAnsi="Songti SC Regular" w:eastAsia="Songti SC Regular" w:cs="Songti SC Regular"/>
        </w:rPr>
        <w:br w:type="page"/>
      </w:r>
    </w:p>
    <w:p w14:paraId="7D075E37">
      <w:pPr>
        <w:pStyle w:val="3"/>
        <w:rPr>
          <w:rFonts w:hint="eastAsia" w:ascii="Songti SC Regular" w:hAnsi="Songti SC Regular" w:eastAsia="Songti SC Regular" w:cs="Songti SC Regular"/>
        </w:rPr>
      </w:pPr>
      <w:r>
        <w:rPr>
          <w:rFonts w:hint="eastAsia" w:ascii="Songti SC Regular" w:hAnsi="Songti SC Regular" w:eastAsia="Songti SC Regular" w:cs="Songti SC Regular"/>
        </w:rPr>
        <w:t>三、订单评审表（钉钉审批流）批注</w:t>
      </w:r>
    </w:p>
    <w:p w14:paraId="3CB2615D">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评审表 — 表单设计过于复杂</w:t>
      </w:r>
    </w:p>
    <w:p w14:paraId="4057D958">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3FC81238">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从销售→PMC→财务→技术支持→QA→生产→QC→物流，完整表单含70+个字段</w:t>
      </w:r>
    </w:p>
    <w:p w14:paraId="7C19FC5B">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必须修改 </w:t>
      </w:r>
      <w:r>
        <w:rPr>
          <w:rFonts w:hint="eastAsia" w:ascii="Songti SC Regular" w:hAnsi="Songti SC Regular" w:eastAsia="Songti SC Regular" w:cs="Songti SC Regular"/>
          <w:sz w:val="20"/>
        </w:rPr>
        <w:t>🔴 严重影响填单意愿。</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销售填这个表至少需要15-20分钟。钉钉审批流的优势是系统自动路由，而非让销售手工填写所有字段。</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建议：</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1. 将表单拆分为"销售填写区"（仅10个必填字段：客户、货号、数量、交期、定制类型勾选）+ "系统自动填充区"（价格政策、信用额度从ERP自动带出）+ "各部门回填区"（技术/生产/财务在审批节点填写各自字段）</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2. 标准订单仅显示销售+P2+财务三个节点，非标才展开全部</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3. "定制类型A-J包"概念很好，但应在钉钉中做成下拉多选而非独立复选框，减少视觉噪音</w:t>
      </w:r>
    </w:p>
    <w:p w14:paraId="69AC328D">
      <w:pPr>
        <w:rPr>
          <w:rFonts w:hint="eastAsia" w:ascii="Songti SC Regular" w:hAnsi="Songti SC Regular" w:eastAsia="Songti SC Regular" w:cs="Songti SC Regular"/>
        </w:rPr>
      </w:pPr>
    </w:p>
    <w:p w14:paraId="710C55CF">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定制类型 A-J 包 — 定义不清晰</w:t>
      </w:r>
    </w:p>
    <w:p w14:paraId="3112B788">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766310FE">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A配方包、B灌装包、C产品信息包、D标签包、E COA包、F质量标准包、G外包装包、H快递箱包、I运输包、J服务包</w:t>
      </w:r>
    </w:p>
    <w:p w14:paraId="3A93D257">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建议优化 </w:t>
      </w:r>
      <w:r>
        <w:rPr>
          <w:rFonts w:hint="eastAsia" w:ascii="Songti SC Regular" w:hAnsi="Songti SC Regular" w:eastAsia="Songti SC Regular" w:cs="Songti SC Regular"/>
          <w:sz w:val="20"/>
        </w:rPr>
        <w:t>🟡 建议在制度正文中对每种"包"做一句话定义。</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例如："A配方包=客户指定配方或配比调整；B灌装包=客户指定灌装规格或分装方式"。</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没有定义的话，销售对"产品信息包"和"标签包"的区别会混淆，导致评审时引入错误的部门。</w:t>
      </w:r>
    </w:p>
    <w:p w14:paraId="4AE85017">
      <w:pPr>
        <w:rPr>
          <w:rFonts w:hint="eastAsia" w:ascii="Songti SC Regular" w:hAnsi="Songti SC Regular" w:eastAsia="Songti SC Regular" w:cs="Songti SC Regular"/>
        </w:rPr>
      </w:pPr>
    </w:p>
    <w:p w14:paraId="558A8D16">
      <w:pPr>
        <w:pStyle w:val="4"/>
        <w:rPr>
          <w:rFonts w:hint="eastAsia" w:ascii="Songti SC Regular" w:hAnsi="Songti SC Regular" w:eastAsia="Songti SC Regular" w:cs="Songti SC Regular"/>
        </w:rPr>
      </w:pPr>
      <w:r>
        <w:rPr>
          <w:rFonts w:hint="eastAsia" w:ascii="Songti SC Regular" w:hAnsi="Songti SC Regular" w:eastAsia="Songti SC Regular" w:cs="Songti SC Regular"/>
        </w:rPr>
        <w:t>钉钉审批流 — 缺少超时升级机制</w:t>
      </w:r>
    </w:p>
    <w:p w14:paraId="13B3BED6">
      <w:pPr>
        <w:rPr>
          <w:rFonts w:hint="eastAsia" w:ascii="Songti SC Regular" w:hAnsi="Songti SC Regular" w:eastAsia="Songti SC Regular" w:cs="Songti SC Regular"/>
        </w:rPr>
      </w:pPr>
      <w:r>
        <w:rPr>
          <w:rFonts w:hint="eastAsia" w:ascii="Songti SC Regular" w:hAnsi="Songti SC Regular" w:eastAsia="Songti SC Regular" w:cs="Songti SC Regular"/>
          <w:b/>
          <w:color w:val="5F6368"/>
          <w:sz w:val="20"/>
        </w:rPr>
        <w:t>【原文】</w:t>
      </w:r>
    </w:p>
    <w:p w14:paraId="5192FDE9">
      <w:pPr>
        <w:ind w:left="567"/>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（评审表本身未体现审批超时处理）</w:t>
      </w:r>
    </w:p>
    <w:p w14:paraId="54B6D5D3">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 xml:space="preserve">🔴 必须修改 </w:t>
      </w:r>
      <w:r>
        <w:rPr>
          <w:rFonts w:hint="eastAsia" w:ascii="Songti SC Regular" w:hAnsi="Songti SC Regular" w:eastAsia="Songti SC Regular" w:cs="Songti SC Regular"/>
          <w:sz w:val="20"/>
        </w:rPr>
        <w:t>🔴 必须补充。</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钉钉审批最常见的痛点是"卡在某个节点不动"。建议在制度中增加：</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① 每个审批节点超时规则：标准订单4小时/节点，非标订单1个工作日/节点</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② 超时自动升级：超时后系统自动提醒节点负责人直属上级</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③ 超时2次以上，由销售总监介入催办</w:t>
      </w:r>
      <w:r>
        <w:rPr>
          <w:rFonts w:hint="eastAsia" w:ascii="Songti SC Regular" w:hAnsi="Songti SC Regular" w:eastAsia="Songti SC Regular" w:cs="Songti SC Regular"/>
          <w:sz w:val="20"/>
        </w:rPr>
        <w:br w:type="textWrapping"/>
      </w:r>
      <w:r>
        <w:rPr>
          <w:rFonts w:hint="eastAsia" w:ascii="Songti SC Regular" w:hAnsi="Songti SC Regular" w:eastAsia="Songti SC Regular" w:cs="Songti SC Regular"/>
          <w:sz w:val="20"/>
        </w:rPr>
        <w:t>④ 紧急订单每个节点不得超过2小时</w:t>
      </w:r>
    </w:p>
    <w:p w14:paraId="4A8A5D88">
      <w:pPr>
        <w:rPr>
          <w:rFonts w:hint="eastAsia" w:ascii="Songti SC Regular" w:hAnsi="Songti SC Regular" w:eastAsia="Songti SC Regular" w:cs="Songti SC Regular"/>
        </w:rPr>
      </w:pPr>
    </w:p>
    <w:p w14:paraId="0206571D">
      <w:pPr>
        <w:rPr>
          <w:rFonts w:hint="eastAsia" w:ascii="Songti SC Regular" w:hAnsi="Songti SC Regular" w:eastAsia="Songti SC Regular" w:cs="Songti SC Regular"/>
        </w:rPr>
      </w:pPr>
      <w:r>
        <w:rPr>
          <w:rFonts w:hint="eastAsia" w:ascii="Songti SC Regular" w:hAnsi="Songti SC Regular" w:eastAsia="Songti SC Regular" w:cs="Songti SC Regular"/>
        </w:rPr>
        <w:br w:type="page"/>
      </w:r>
    </w:p>
    <w:p w14:paraId="2128E290">
      <w:pPr>
        <w:pStyle w:val="3"/>
        <w:rPr>
          <w:rFonts w:hint="eastAsia" w:ascii="Songti SC Regular" w:hAnsi="Songti SC Regular" w:eastAsia="Songti SC Regular" w:cs="Songti SC Regular"/>
        </w:rPr>
      </w:pPr>
      <w:r>
        <w:rPr>
          <w:rFonts w:hint="eastAsia" w:ascii="Songti SC Regular" w:hAnsi="Songti SC Regular" w:eastAsia="Songti SC Regular" w:cs="Songti SC Regular"/>
        </w:rPr>
        <w:t>四、与现有LTC流程的衔接建议</w:t>
      </w:r>
    </w:p>
    <w:p w14:paraId="50C6FAC2">
      <w:pPr>
        <w:rPr>
          <w:rFonts w:hint="eastAsia" w:ascii="Songti SC Regular" w:hAnsi="Songti SC Regular" w:eastAsia="Songti SC Regular" w:cs="Songti SC Regular"/>
        </w:rPr>
      </w:pPr>
      <w:r>
        <w:rPr>
          <w:rFonts w:hint="eastAsia" w:ascii="Songti SC Regular" w:hAnsi="Songti SC Regular" w:eastAsia="Songti SC Regular" w:cs="Songti SC Regular"/>
        </w:rPr>
        <w:t>宝锐生物已引入华为LTC（Lead to Cash）概念，订单评审是LTC流程中"S3→S4"（方案确认→合同执行）的关键节点。当前制度作为独立文件发布，与LTC体系缺少显性关联。建议：</w:t>
      </w:r>
    </w:p>
    <w:p w14:paraId="7008B9C0">
      <w:pPr>
        <w:pStyle w:val="14"/>
        <w:rPr>
          <w:rFonts w:hint="eastAsia" w:ascii="Songti SC Regular" w:hAnsi="Songti SC Regular" w:eastAsia="Songti SC Regular" w:cs="Songti SC Regular"/>
        </w:rPr>
      </w:pPr>
      <w:r>
        <w:rPr>
          <w:rFonts w:hint="eastAsia" w:ascii="Songti SC Regular" w:hAnsi="Songti SC Regular" w:eastAsia="Songti SC Regular" w:cs="Songti SC Regular"/>
        </w:rPr>
        <w:t>在制度"目的"中增加一句："本制度是公司LTC流程中从商机确认（S3）到合同执行（S4）的衔接节点，评审结论是进入S4的前置条件。"</w:t>
      </w:r>
    </w:p>
    <w:p w14:paraId="205F3D8D">
      <w:pPr>
        <w:pStyle w:val="14"/>
        <w:rPr>
          <w:rFonts w:hint="eastAsia" w:ascii="Songti SC Regular" w:hAnsi="Songti SC Regular" w:eastAsia="Songti SC Regular" w:cs="Songti SC Regular"/>
        </w:rPr>
      </w:pPr>
      <w:r>
        <w:rPr>
          <w:rFonts w:hint="eastAsia" w:ascii="Songti SC Regular" w:hAnsi="Songti SC Regular" w:eastAsia="Songti SC Regular" w:cs="Songti SC Regular"/>
        </w:rPr>
        <w:t>订单评审记录中的"评审编号"与CRM/ERP中的商机编号挂钩，实现LTC全链路可追溯。</w:t>
      </w:r>
    </w:p>
    <w:p w14:paraId="3D9E42D5">
      <w:pPr>
        <w:pStyle w:val="14"/>
        <w:rPr>
          <w:rFonts w:hint="eastAsia" w:ascii="Songti SC Regular" w:hAnsi="Songti SC Regular" w:eastAsia="Songti SC Regular" w:cs="Songti SC Regular"/>
        </w:rPr>
      </w:pPr>
      <w:r>
        <w:rPr>
          <w:rFonts w:hint="eastAsia" w:ascii="Songti SC Regular" w:hAnsi="Songti SC Regular" w:eastAsia="Songti SC Regular" w:cs="Songti SC Regular"/>
        </w:rPr>
        <w:t>评审通过后的"传递执行"步骤中，明确将评审结论同步至销售工作台（现有HTML仪表盘），让销售实时看到订单状态。</w:t>
      </w:r>
    </w:p>
    <w:p w14:paraId="630B5E4A">
      <w:pPr>
        <w:pStyle w:val="14"/>
        <w:rPr>
          <w:rFonts w:hint="eastAsia" w:ascii="Songti SC Regular" w:hAnsi="Songti SC Regular" w:eastAsia="Songti SC Regular" w:cs="Songti SC Regular"/>
        </w:rPr>
      </w:pPr>
      <w:r>
        <w:rPr>
          <w:rFonts w:hint="eastAsia" w:ascii="Songti SC Regular" w:hAnsi="Songti SC Regular" w:eastAsia="Songti SC Regular" w:cs="Songti SC Regular"/>
        </w:rPr>
        <w:t>非标订单的"技术确认"节点产出应同步更新客户档案，为后续复购提供参考。</w:t>
      </w:r>
    </w:p>
    <w:p w14:paraId="7FBCFFF6">
      <w:pPr>
        <w:pStyle w:val="3"/>
        <w:rPr>
          <w:rFonts w:hint="eastAsia" w:ascii="Songti SC Regular" w:hAnsi="Songti SC Regular" w:eastAsia="Songti SC Regular" w:cs="Songti SC Regular"/>
        </w:rPr>
      </w:pPr>
      <w:r>
        <w:rPr>
          <w:rFonts w:hint="eastAsia" w:ascii="Songti SC Regular" w:hAnsi="Songti SC Regular" w:eastAsia="Songti SC Regular" w:cs="Songti SC Regular"/>
        </w:rPr>
        <w:t>五、批注总结</w:t>
      </w:r>
    </w:p>
    <w:p w14:paraId="762E11FB">
      <w:pPr>
        <w:rPr>
          <w:rFonts w:hint="eastAsia" w:ascii="Songti SC Regular" w:hAnsi="Songti SC Regular" w:eastAsia="Songti SC Regular" w:cs="Songti SC Regular"/>
        </w:rPr>
      </w:pPr>
      <w:r>
        <w:rPr>
          <w:rFonts w:hint="eastAsia" w:ascii="Songti SC Regular" w:hAnsi="Songti SC Regular" w:eastAsia="Songti SC Regular" w:cs="Songti SC Regular"/>
          <w:b/>
          <w:sz w:val="22"/>
        </w:rPr>
        <w:t>等级</w:t>
      </w:r>
      <w:r>
        <w:rPr>
          <w:rFonts w:hint="eastAsia" w:ascii="Songti SC Regular" w:hAnsi="Songti SC Regular" w:eastAsia="Songti SC Regular" w:cs="Songti SC Regular"/>
          <w:b/>
          <w:sz w:val="22"/>
        </w:rPr>
        <w:tab/>
      </w:r>
      <w:r>
        <w:rPr>
          <w:rFonts w:hint="eastAsia" w:ascii="Songti SC Regular" w:hAnsi="Songti SC Regular" w:eastAsia="Songti SC Regular" w:cs="Songti SC Regular"/>
          <w:b/>
          <w:sz w:val="22"/>
        </w:rPr>
        <w:t>数量</w:t>
      </w:r>
      <w:r>
        <w:rPr>
          <w:rFonts w:hint="eastAsia" w:ascii="Songti SC Regular" w:hAnsi="Songti SC Regular" w:eastAsia="Songti SC Regular" w:cs="Songti SC Regular"/>
          <w:b/>
          <w:sz w:val="22"/>
        </w:rPr>
        <w:tab/>
      </w:r>
      <w:r>
        <w:rPr>
          <w:rFonts w:hint="eastAsia" w:ascii="Songti SC Regular" w:hAnsi="Songti SC Regular" w:eastAsia="Songti SC Regular" w:cs="Songti SC Regular"/>
          <w:b/>
          <w:sz w:val="22"/>
        </w:rPr>
        <w:t>核心建议</w:t>
      </w:r>
    </w:p>
    <w:p w14:paraId="422510E5">
      <w:pPr>
        <w:rPr>
          <w:rFonts w:hint="eastAsia" w:ascii="Songti SC Regular" w:hAnsi="Songti SC Regular" w:eastAsia="Songti SC Regular" w:cs="Songti SC Regular"/>
        </w:rPr>
      </w:pPr>
      <w:r>
        <w:rPr>
          <w:rFonts w:hint="eastAsia" w:ascii="Songti SC Regular" w:hAnsi="Songti SC Regular" w:eastAsia="Songti SC Regular" w:cs="Songti SC Regular"/>
        </w:rPr>
        <w:t>🔴 必须修改</w:t>
      </w:r>
      <w:r>
        <w:rPr>
          <w:rFonts w:hint="eastAsia" w:ascii="Songti SC Regular" w:hAnsi="Songti SC Regular" w:eastAsia="Songti SC Regular" w:cs="Songti SC Regular"/>
        </w:rPr>
        <w:tab/>
      </w:r>
      <w:r>
        <w:rPr>
          <w:rFonts w:hint="eastAsia" w:ascii="Songti SC Regular" w:hAnsi="Songti SC Regular" w:eastAsia="Songti SC Regular" w:cs="Songti SC Regular"/>
        </w:rPr>
        <w:t>4项</w:t>
      </w:r>
      <w:r>
        <w:rPr>
          <w:rFonts w:hint="eastAsia" w:ascii="Songti SC Regular" w:hAnsi="Songti SC Regular" w:eastAsia="Songti SC Regular" w:cs="Songti SC Regular"/>
        </w:rPr>
        <w:tab/>
      </w:r>
      <w:r>
        <w:rPr>
          <w:rFonts w:hint="eastAsia" w:ascii="Songti SC Regular" w:hAnsi="Songti SC Regular" w:eastAsia="Songti SC Regular" w:cs="Songti SC Regular"/>
        </w:rPr>
        <w:t>免评审门槛/非标流程时长/紧急订单补全/钉钉超时机制</w:t>
      </w:r>
    </w:p>
    <w:p w14:paraId="2AABAE3F">
      <w:pPr>
        <w:rPr>
          <w:rFonts w:hint="eastAsia" w:ascii="Songti SC Regular" w:hAnsi="Songti SC Regular" w:eastAsia="Songti SC Regular" w:cs="Songti SC Regular"/>
        </w:rPr>
      </w:pPr>
      <w:r>
        <w:rPr>
          <w:rFonts w:hint="eastAsia" w:ascii="Songti SC Regular" w:hAnsi="Songti SC Regular" w:eastAsia="Songti SC Regular" w:cs="Songti SC Regular"/>
        </w:rPr>
        <w:t>🟡 建议优化</w:t>
      </w:r>
      <w:r>
        <w:rPr>
          <w:rFonts w:hint="eastAsia" w:ascii="Songti SC Regular" w:hAnsi="Songti SC Regular" w:eastAsia="Songti SC Regular" w:cs="Songti SC Regular"/>
        </w:rPr>
        <w:tab/>
      </w:r>
      <w:r>
        <w:rPr>
          <w:rFonts w:hint="eastAsia" w:ascii="Songti SC Regular" w:hAnsi="Songti SC Regular" w:eastAsia="Songti SC Regular" w:cs="Songti SC Regular"/>
        </w:rPr>
        <w:t>5项</w:t>
      </w:r>
      <w:r>
        <w:rPr>
          <w:rFonts w:hint="eastAsia" w:ascii="Songti SC Regular" w:hAnsi="Songti SC Regular" w:eastAsia="Songti SC Regular" w:cs="Songti SC Regular"/>
        </w:rPr>
        <w:tab/>
      </w:r>
      <w:r>
        <w:rPr>
          <w:rFonts w:hint="eastAsia" w:ascii="Songti SC Regular" w:hAnsi="Songti SC Regular" w:eastAsia="Songti SC Regular" w:cs="Songti SC Regular"/>
        </w:rPr>
        <w:t>订单分类决策树/责任归属/财务前置预审/定制包定义/与LTC衔接</w:t>
      </w:r>
    </w:p>
    <w:p w14:paraId="0C6E7895">
      <w:pPr>
        <w:rPr>
          <w:rFonts w:hint="eastAsia" w:ascii="Songti SC Regular" w:hAnsi="Songti SC Regular" w:eastAsia="Songti SC Regular" w:cs="Songti SC Regular"/>
        </w:rPr>
      </w:pPr>
    </w:p>
    <w:p w14:paraId="1FD71E3B">
      <w:pPr>
        <w:jc w:val="center"/>
        <w:rPr>
          <w:rFonts w:hint="eastAsia" w:ascii="Songti SC Regular" w:hAnsi="Songti SC Regular" w:eastAsia="Songti SC Regular" w:cs="Songti SC Regular"/>
        </w:rPr>
      </w:pPr>
      <w:r>
        <w:rPr>
          <w:rFonts w:hint="eastAsia" w:ascii="Songti SC Regular" w:hAnsi="Songti SC Regular" w:eastAsia="Songti SC Regular" w:cs="Songti SC Regular"/>
          <w:color w:val="5F6368"/>
          <w:sz w:val="20"/>
        </w:rPr>
        <w:t>— 销售总监 刘新元 —</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Apple Color Emoji">
    <w:panose1 w:val="00000000000000000000"/>
    <w:charset w:val="00"/>
    <w:family w:val="auto"/>
    <w:pitch w:val="default"/>
    <w:sig w:usb0="00000003" w:usb1="18000000" w:usb2="14000000" w:usb3="00000000" w:csb0="0000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Songti SC Regular">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doNotDisplayPageBoundarie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5DF0227"/>
    <w:rsid w:val="7FD1F33E"/>
    <w:rsid w:val="97BFB60F"/>
    <w:rsid w:val="EE8FF79B"/>
    <w:rsid w:val="F7E767A6"/>
    <w:rsid w:val="F99FB0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7</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刘新元</cp:lastModifiedBy>
  <dcterms:modified xsi:type="dcterms:W3CDTF">2026-07-23T15:02:18Z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B60C1F536646B8F51CBA616AB6015412_42</vt:lpwstr>
  </property>
</Properties>
</file>