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23A74">
      <w:pPr>
        <w:pStyle w:val="2"/>
        <w:numPr>
          <w:ilvl w:val="0"/>
          <w:numId w:val="0"/>
        </w:numPr>
        <w:bidi w:val="0"/>
        <w:ind w:leftChars="-200"/>
        <w:rPr>
          <w:rFonts w:hint="eastAsia"/>
          <w:color w:val="000000" w:themeColor="text1"/>
          <w14:textFill>
            <w14:solidFill>
              <w14:schemeClr w14:val="tx1"/>
            </w14:solidFill>
          </w14:textFill>
        </w:rPr>
      </w:pPr>
    </w:p>
    <w:tbl>
      <w:tblPr>
        <w:tblStyle w:val="22"/>
        <w:tblpPr w:leftFromText="180" w:rightFromText="180" w:vertAnchor="page" w:horzAnchor="page" w:tblpX="925" w:tblpY="1599"/>
        <w:tblW w:w="10368" w:type="dxa"/>
        <w:tblInd w:w="0"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55"/>
        <w:gridCol w:w="2937"/>
        <w:gridCol w:w="2990"/>
        <w:gridCol w:w="3286"/>
      </w:tblGrid>
      <w:tr w14:paraId="093D7E6D">
        <w:trPr>
          <w:trHeight w:val="12199" w:hRule="atLeast"/>
        </w:trPr>
        <w:tc>
          <w:tcPr>
            <w:tcW w:w="10368" w:type="dxa"/>
            <w:gridSpan w:val="4"/>
            <w:tcBorders>
              <w:bottom w:val="single" w:color="auto" w:sz="6" w:space="0"/>
            </w:tcBorders>
            <w:noWrap w:val="0"/>
            <w:vAlign w:val="top"/>
          </w:tcPr>
          <w:p w14:paraId="6939D2A0">
            <w:pPr>
              <w:pageBreakBefore w:val="0"/>
              <w:tabs>
                <w:tab w:val="center" w:pos="5076"/>
              </w:tabs>
              <w:kinsoku/>
              <w:wordWrap/>
              <w:overflowPunct/>
              <w:topLinePunct w:val="0"/>
              <w:autoSpaceDE/>
              <w:autoSpaceDN/>
              <w:bidi w:val="0"/>
              <w:adjustRightInd/>
              <w:snapToGrid/>
              <w:ind w:left="0" w:leftChars="0"/>
              <w:rPr>
                <w:rFonts w:hint="eastAsia"/>
                <w:b/>
                <w:color w:val="000000" w:themeColor="text1"/>
                <w:sz w:val="36"/>
                <w:szCs w:val="36"/>
                <w:lang w:eastAsia="zh-CN"/>
                <w14:textFill>
                  <w14:solidFill>
                    <w14:schemeClr w14:val="tx1"/>
                  </w14:solidFill>
                </w14:textFill>
              </w:rPr>
            </w:pPr>
            <w:r>
              <w:rPr>
                <w:color w:val="000000" w:themeColor="text1"/>
                <w14:textFill>
                  <w14:solidFill>
                    <w14:schemeClr w14:val="tx1"/>
                  </w14:solidFill>
                </w14:textFill>
              </w:rPr>
              <w:tab/>
            </w:r>
          </w:p>
          <w:p w14:paraId="47E420FB">
            <w:pPr>
              <w:pageBreakBefore w:val="0"/>
              <w:kinsoku/>
              <w:wordWrap/>
              <w:overflowPunct/>
              <w:topLinePunct w:val="0"/>
              <w:autoSpaceDE/>
              <w:autoSpaceDN/>
              <w:bidi w:val="0"/>
              <w:adjustRightInd/>
              <w:snapToGrid/>
              <w:ind w:left="0" w:leftChars="0"/>
              <w:jc w:val="center"/>
              <w:rPr>
                <w:rFonts w:hint="eastAsia" w:ascii="宋体" w:hAnsi="宋体"/>
                <w:b/>
                <w:bCs/>
                <w:color w:val="000000" w:themeColor="text1"/>
                <w:sz w:val="72"/>
                <w:szCs w:val="72"/>
                <w:lang w:val="en-US" w:eastAsia="zh-CN"/>
                <w14:textFill>
                  <w14:solidFill>
                    <w14:schemeClr w14:val="tx1"/>
                  </w14:solidFill>
                </w14:textFill>
              </w:rPr>
            </w:pPr>
            <w:r>
              <w:rPr>
                <w:rFonts w:hint="eastAsia" w:ascii="宋体" w:hAnsi="宋体"/>
                <w:b/>
                <w:bCs/>
                <w:color w:val="000000" w:themeColor="text1"/>
                <w:sz w:val="72"/>
                <w:szCs w:val="72"/>
                <w:lang w:val="en-US" w:eastAsia="zh-CN"/>
                <w14:textFill>
                  <w14:solidFill>
                    <w14:schemeClr w14:val="tx1"/>
                  </w14:solidFill>
                </w14:textFill>
              </w:rPr>
              <w:t>珠海宝锐生物科技有限公司</w:t>
            </w:r>
          </w:p>
          <w:p w14:paraId="407DB1E7">
            <w:pPr>
              <w:pageBreakBefore w:val="0"/>
              <w:kinsoku/>
              <w:wordWrap/>
              <w:overflowPunct/>
              <w:topLinePunct w:val="0"/>
              <w:autoSpaceDE/>
              <w:autoSpaceDN/>
              <w:bidi w:val="0"/>
              <w:adjustRightInd/>
              <w:snapToGrid/>
              <w:ind w:left="0" w:leftChars="0"/>
              <w:jc w:val="center"/>
              <w:rPr>
                <w:rFonts w:hint="eastAsia" w:ascii="宋体" w:hAnsi="宋体"/>
                <w:b/>
                <w:bCs/>
                <w:color w:val="000000" w:themeColor="text1"/>
                <w:sz w:val="72"/>
                <w:szCs w:val="72"/>
                <w:lang w:val="en-US" w:eastAsia="zh-CN"/>
                <w14:textFill>
                  <w14:solidFill>
                    <w14:schemeClr w14:val="tx1"/>
                  </w14:solidFill>
                </w14:textFill>
              </w:rPr>
            </w:pPr>
          </w:p>
          <w:p w14:paraId="2BD9B57C">
            <w:pPr>
              <w:pageBreakBefore w:val="0"/>
              <w:kinsoku/>
              <w:wordWrap/>
              <w:overflowPunct/>
              <w:topLinePunct w:val="0"/>
              <w:autoSpaceDE/>
              <w:autoSpaceDN/>
              <w:bidi w:val="0"/>
              <w:adjustRightInd/>
              <w:snapToGrid/>
              <w:spacing w:line="360" w:lineRule="auto"/>
              <w:ind w:left="0" w:leftChars="0"/>
              <w:rPr>
                <w:rFonts w:hint="eastAsia"/>
                <w:b/>
                <w:bCs/>
                <w:color w:val="000000" w:themeColor="text1"/>
                <w:sz w:val="52"/>
                <w:szCs w:val="52"/>
                <w14:textFill>
                  <w14:solidFill>
                    <w14:schemeClr w14:val="tx1"/>
                  </w14:solidFill>
                </w14:textFill>
              </w:rPr>
            </w:pPr>
          </w:p>
          <w:p w14:paraId="22B664D2">
            <w:pPr>
              <w:ind w:left="0" w:leftChars="0"/>
              <w:jc w:val="center"/>
              <w:rPr>
                <w:rFonts w:hint="default" w:eastAsia="宋体"/>
                <w:b/>
                <w:bCs/>
                <w:color w:val="auto"/>
                <w:sz w:val="52"/>
                <w:szCs w:val="52"/>
                <w:lang w:val="en-US" w:eastAsia="zh-CN"/>
              </w:rPr>
            </w:pPr>
            <w:r>
              <w:rPr>
                <w:rFonts w:hint="eastAsia"/>
                <w:b/>
                <w:bCs/>
                <w:color w:val="auto"/>
                <w:sz w:val="52"/>
                <w:szCs w:val="52"/>
                <w:lang w:val="en-US" w:eastAsia="zh-CN"/>
              </w:rPr>
              <w:t>客户投诉处理管理制度-征求意见稿</w:t>
            </w:r>
          </w:p>
          <w:p w14:paraId="4C18C949">
            <w:pPr>
              <w:pageBreakBefore w:val="0"/>
              <w:kinsoku/>
              <w:wordWrap/>
              <w:overflowPunct/>
              <w:topLinePunct w:val="0"/>
              <w:autoSpaceDE/>
              <w:autoSpaceDN/>
              <w:bidi w:val="0"/>
              <w:adjustRightInd/>
              <w:snapToGrid/>
              <w:spacing w:line="360" w:lineRule="auto"/>
              <w:ind w:left="0" w:leftChars="0"/>
              <w:jc w:val="center"/>
              <w:rPr>
                <w:rFonts w:hint="default" w:eastAsia="宋体"/>
                <w:b/>
                <w:bCs/>
                <w:color w:val="000000" w:themeColor="text1"/>
                <w:sz w:val="52"/>
                <w:szCs w:val="52"/>
                <w:lang w:val="en-US" w:eastAsia="zh-CN"/>
                <w14:textFill>
                  <w14:solidFill>
                    <w14:schemeClr w14:val="tx1"/>
                  </w14:solidFill>
                </w14:textFill>
              </w:rPr>
            </w:pPr>
          </w:p>
          <w:p w14:paraId="50DF9CDD">
            <w:pPr>
              <w:pageBreakBefore w:val="0"/>
              <w:kinsoku/>
              <w:wordWrap/>
              <w:overflowPunct/>
              <w:topLinePunct w:val="0"/>
              <w:autoSpaceDE/>
              <w:autoSpaceDN/>
              <w:bidi w:val="0"/>
              <w:adjustRightInd/>
              <w:snapToGrid/>
              <w:spacing w:line="360" w:lineRule="auto"/>
              <w:ind w:left="0" w:leftChars="0"/>
              <w:jc w:val="center"/>
              <w:rPr>
                <w:rFonts w:hint="eastAsia"/>
                <w:b/>
                <w:bCs/>
                <w:color w:val="000000" w:themeColor="text1"/>
                <w:sz w:val="52"/>
                <w:szCs w:val="52"/>
                <w14:textFill>
                  <w14:solidFill>
                    <w14:schemeClr w14:val="tx1"/>
                  </w14:solidFill>
                </w14:textFill>
              </w:rPr>
            </w:pPr>
          </w:p>
          <w:p w14:paraId="1798FCB7">
            <w:pPr>
              <w:pageBreakBefore w:val="0"/>
              <w:kinsoku/>
              <w:wordWrap/>
              <w:overflowPunct/>
              <w:topLinePunct w:val="0"/>
              <w:autoSpaceDE/>
              <w:autoSpaceDN/>
              <w:bidi w:val="0"/>
              <w:adjustRightInd/>
              <w:snapToGrid/>
              <w:spacing w:line="360" w:lineRule="auto"/>
              <w:ind w:left="0" w:leftChars="0"/>
              <w:jc w:val="center"/>
              <w:rPr>
                <w:rFonts w:hint="eastAsia"/>
                <w:b/>
                <w:bCs/>
                <w:color w:val="000000" w:themeColor="text1"/>
                <w:sz w:val="52"/>
                <w:szCs w:val="52"/>
                <w14:textFill>
                  <w14:solidFill>
                    <w14:schemeClr w14:val="tx1"/>
                  </w14:solidFill>
                </w14:textFill>
              </w:rPr>
            </w:pPr>
          </w:p>
          <w:p w14:paraId="579382B3">
            <w:pPr>
              <w:pageBreakBefore w:val="0"/>
              <w:kinsoku/>
              <w:wordWrap/>
              <w:overflowPunct/>
              <w:topLinePunct w:val="0"/>
              <w:autoSpaceDE/>
              <w:autoSpaceDN/>
              <w:bidi w:val="0"/>
              <w:adjustRightInd/>
              <w:snapToGrid/>
              <w:spacing w:line="360" w:lineRule="auto"/>
              <w:ind w:left="0" w:leftChars="0"/>
              <w:jc w:val="center"/>
              <w:rPr>
                <w:rFonts w:hint="eastAsia"/>
                <w:b/>
                <w:bCs/>
                <w:color w:val="000000" w:themeColor="text1"/>
                <w:sz w:val="52"/>
                <w:szCs w:val="52"/>
                <w:lang w:val="en-US" w:eastAsia="zh-CN"/>
                <w14:textFill>
                  <w14:solidFill>
                    <w14:schemeClr w14:val="tx1"/>
                  </w14:solidFill>
                </w14:textFill>
              </w:rPr>
            </w:pPr>
          </w:p>
          <w:tbl>
            <w:tblPr>
              <w:tblStyle w:val="22"/>
              <w:tblW w:w="5217" w:type="dxa"/>
              <w:tblInd w:w="2435" w:type="dxa"/>
              <w:tblLayout w:type="fixed"/>
              <w:tblCellMar>
                <w:top w:w="0" w:type="dxa"/>
                <w:left w:w="108" w:type="dxa"/>
                <w:bottom w:w="0" w:type="dxa"/>
                <w:right w:w="108" w:type="dxa"/>
              </w:tblCellMar>
            </w:tblPr>
            <w:tblGrid>
              <w:gridCol w:w="1603"/>
              <w:gridCol w:w="1320"/>
              <w:gridCol w:w="1034"/>
              <w:gridCol w:w="1260"/>
            </w:tblGrid>
            <w:tr w14:paraId="6081C8D7">
              <w:trPr>
                <w:cantSplit/>
                <w:trHeight w:val="567" w:hRule="atLeast"/>
              </w:trPr>
              <w:tc>
                <w:tcPr>
                  <w:tcW w:w="1603" w:type="dxa"/>
                  <w:vAlign w:val="bottom"/>
                </w:tcPr>
                <w:p w14:paraId="46B56F4A">
                  <w:pPr>
                    <w:pageBreakBefore w:val="0"/>
                    <w:kinsoku/>
                    <w:wordWrap/>
                    <w:overflowPunct/>
                    <w:topLinePunct w:val="0"/>
                    <w:autoSpaceDE/>
                    <w:autoSpaceDN/>
                    <w:bidi w:val="0"/>
                    <w:adjustRightInd/>
                    <w:snapToGrid/>
                    <w:spacing w:line="280" w:lineRule="exact"/>
                    <w:ind w:left="0" w:leftChars="0"/>
                    <w:jc w:val="center"/>
                    <w:rPr>
                      <w:rFonts w:hint="default"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文件类型：</w:t>
                  </w:r>
                </w:p>
              </w:tc>
              <w:tc>
                <w:tcPr>
                  <w:tcW w:w="3614" w:type="dxa"/>
                  <w:gridSpan w:val="3"/>
                  <w:tcBorders>
                    <w:bottom w:val="single" w:color="auto" w:sz="4" w:space="0"/>
                  </w:tcBorders>
                  <w:vAlign w:val="bottom"/>
                </w:tcPr>
                <w:p w14:paraId="364DDB40">
                  <w:pPr>
                    <w:pageBreakBefore w:val="0"/>
                    <w:widowControl/>
                    <w:kinsoku/>
                    <w:wordWrap/>
                    <w:overflowPunct/>
                    <w:topLinePunct w:val="0"/>
                    <w:autoSpaceDE/>
                    <w:autoSpaceDN/>
                    <w:bidi w:val="0"/>
                    <w:adjustRightInd/>
                    <w:snapToGrid/>
                    <w:spacing w:line="240" w:lineRule="auto"/>
                    <w:ind w:left="0" w:leftChars="0"/>
                    <w:jc w:val="center"/>
                    <w:textAlignment w:val="center"/>
                    <w:rPr>
                      <w:color w:val="000000" w:themeColor="text1"/>
                      <w:szCs w:val="21"/>
                      <w14:textFill>
                        <w14:solidFill>
                          <w14:schemeClr w14:val="tx1"/>
                        </w14:solidFill>
                      </w14:textFill>
                    </w:rPr>
                  </w:pPr>
                  <w:r>
                    <w:rPr>
                      <w:rFonts w:hint="default" w:ascii="Times New Roman" w:hAnsi="Times New Roman" w:eastAsia="宋体" w:cs="Times New Roman"/>
                      <w:color w:val="auto"/>
                      <w:sz w:val="24"/>
                      <w:szCs w:val="24"/>
                      <w:lang w:val="en-US" w:eastAsia="zh-CN"/>
                    </w:rPr>
                    <w:t>控制活动</w:t>
                  </w:r>
                </w:p>
              </w:tc>
            </w:tr>
            <w:tr w14:paraId="04090542">
              <w:trPr>
                <w:cantSplit/>
                <w:trHeight w:val="567" w:hRule="atLeast"/>
              </w:trPr>
              <w:tc>
                <w:tcPr>
                  <w:tcW w:w="1603" w:type="dxa"/>
                  <w:vAlign w:val="bottom"/>
                </w:tcPr>
                <w:p w14:paraId="3E8373F2">
                  <w:pPr>
                    <w:pageBreakBefore w:val="0"/>
                    <w:kinsoku/>
                    <w:wordWrap/>
                    <w:overflowPunct/>
                    <w:topLinePunct w:val="0"/>
                    <w:autoSpaceDE/>
                    <w:autoSpaceDN/>
                    <w:bidi w:val="0"/>
                    <w:adjustRightInd/>
                    <w:snapToGrid/>
                    <w:spacing w:line="280" w:lineRule="exact"/>
                    <w:ind w:left="0" w:leftChars="0"/>
                    <w:jc w:val="center"/>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文件编号</w:t>
                  </w:r>
                  <w:r>
                    <w:rPr>
                      <w:rFonts w:hint="eastAsia" w:ascii="宋体" w:hAnsi="宋体"/>
                      <w:color w:val="000000" w:themeColor="text1"/>
                      <w:sz w:val="24"/>
                      <w:lang w:eastAsia="zh-CN"/>
                      <w14:textFill>
                        <w14:solidFill>
                          <w14:schemeClr w14:val="tx1"/>
                        </w14:solidFill>
                      </w14:textFill>
                    </w:rPr>
                    <w:t>：</w:t>
                  </w:r>
                </w:p>
              </w:tc>
              <w:tc>
                <w:tcPr>
                  <w:tcW w:w="3614" w:type="dxa"/>
                  <w:gridSpan w:val="3"/>
                  <w:tcBorders>
                    <w:bottom w:val="single" w:color="auto" w:sz="4" w:space="0"/>
                  </w:tcBorders>
                  <w:vAlign w:val="bottom"/>
                </w:tcPr>
                <w:p w14:paraId="30900962">
                  <w:pPr>
                    <w:pageBreakBefore w:val="0"/>
                    <w:widowControl/>
                    <w:kinsoku/>
                    <w:wordWrap/>
                    <w:overflowPunct/>
                    <w:topLinePunct w:val="0"/>
                    <w:autoSpaceDE/>
                    <w:autoSpaceDN/>
                    <w:bidi w:val="0"/>
                    <w:adjustRightInd/>
                    <w:snapToGrid/>
                    <w:spacing w:line="240" w:lineRule="auto"/>
                    <w:ind w:left="0" w:leftChars="0"/>
                    <w:jc w:val="center"/>
                    <w:textAlignment w:val="center"/>
                    <w:rPr>
                      <w:color w:val="000000" w:themeColor="text1"/>
                      <w:szCs w:val="21"/>
                      <w14:textFill>
                        <w14:solidFill>
                          <w14:schemeClr w14:val="tx1"/>
                        </w14:solidFill>
                      </w14:textFill>
                    </w:rPr>
                  </w:pPr>
                  <w:r>
                    <w:rPr>
                      <w:rFonts w:hint="default" w:ascii="Times New Roman" w:hAnsi="Times New Roman" w:eastAsia="宋体" w:cs="Times New Roman"/>
                      <w:color w:val="auto"/>
                      <w:sz w:val="24"/>
                      <w:szCs w:val="24"/>
                    </w:rPr>
                    <w:t>CA-11-</w:t>
                  </w:r>
                  <w:r>
                    <w:rPr>
                      <w:rFonts w:hint="eastAsia" w:cs="Times New Roman"/>
                      <w:color w:val="auto"/>
                      <w:sz w:val="24"/>
                      <w:szCs w:val="24"/>
                      <w:lang w:val="en-US" w:eastAsia="zh-CN"/>
                    </w:rPr>
                    <w:t>21</w:t>
                  </w:r>
                </w:p>
              </w:tc>
            </w:tr>
            <w:tr w14:paraId="10F14BA7">
              <w:trPr>
                <w:cantSplit/>
                <w:trHeight w:val="567" w:hRule="atLeast"/>
              </w:trPr>
              <w:tc>
                <w:tcPr>
                  <w:tcW w:w="1603" w:type="dxa"/>
                  <w:vAlign w:val="bottom"/>
                </w:tcPr>
                <w:p w14:paraId="49D77EE7">
                  <w:pPr>
                    <w:pageBreakBefore w:val="0"/>
                    <w:kinsoku/>
                    <w:wordWrap/>
                    <w:overflowPunct/>
                    <w:topLinePunct w:val="0"/>
                    <w:autoSpaceDE/>
                    <w:autoSpaceDN/>
                    <w:bidi w:val="0"/>
                    <w:adjustRightInd/>
                    <w:snapToGrid/>
                    <w:spacing w:line="280" w:lineRule="exact"/>
                    <w:ind w:left="0" w:leftChars="0"/>
                    <w:jc w:val="center"/>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文件版次</w:t>
                  </w:r>
                  <w:r>
                    <w:rPr>
                      <w:rFonts w:hint="eastAsia" w:ascii="宋体" w:hAnsi="宋体"/>
                      <w:color w:val="000000" w:themeColor="text1"/>
                      <w:sz w:val="24"/>
                      <w:lang w:eastAsia="zh-CN"/>
                      <w14:textFill>
                        <w14:solidFill>
                          <w14:schemeClr w14:val="tx1"/>
                        </w14:solidFill>
                      </w14:textFill>
                    </w:rPr>
                    <w:t>：</w:t>
                  </w:r>
                </w:p>
              </w:tc>
              <w:tc>
                <w:tcPr>
                  <w:tcW w:w="1320" w:type="dxa"/>
                  <w:tcBorders>
                    <w:top w:val="single" w:color="auto" w:sz="4" w:space="0"/>
                    <w:bottom w:val="single" w:color="auto" w:sz="4" w:space="0"/>
                  </w:tcBorders>
                  <w:vAlign w:val="bottom"/>
                </w:tcPr>
                <w:p w14:paraId="2D91E15D">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宋体" w:hAnsi="宋体"/>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auto"/>
                      <w:sz w:val="24"/>
                      <w:szCs w:val="24"/>
                      <w:lang w:val="en-US" w:eastAsia="zh-CN"/>
                    </w:rPr>
                    <w:t>A/</w:t>
                  </w:r>
                  <w:r>
                    <w:rPr>
                      <w:rFonts w:hint="eastAsia" w:cs="Times New Roman"/>
                      <w:color w:val="auto"/>
                      <w:sz w:val="24"/>
                      <w:szCs w:val="24"/>
                      <w:lang w:val="en-US" w:eastAsia="zh-CN"/>
                    </w:rPr>
                    <w:t>1</w:t>
                  </w:r>
                </w:p>
              </w:tc>
              <w:tc>
                <w:tcPr>
                  <w:tcW w:w="1034" w:type="dxa"/>
                  <w:tcBorders>
                    <w:top w:val="single" w:color="auto" w:sz="4" w:space="0"/>
                  </w:tcBorders>
                  <w:vAlign w:val="bottom"/>
                </w:tcPr>
                <w:p w14:paraId="2BF44EBB">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auto"/>
                      <w:sz w:val="24"/>
                      <w:szCs w:val="24"/>
                      <w:lang w:val="en-US" w:eastAsia="zh-CN"/>
                    </w:rPr>
                    <w:t>页次:</w:t>
                  </w:r>
                </w:p>
              </w:tc>
              <w:tc>
                <w:tcPr>
                  <w:tcW w:w="1260" w:type="dxa"/>
                  <w:tcBorders>
                    <w:top w:val="single" w:color="auto" w:sz="4" w:space="0"/>
                    <w:bottom w:val="single" w:color="auto" w:sz="4" w:space="0"/>
                  </w:tcBorders>
                  <w:vAlign w:val="bottom"/>
                </w:tcPr>
                <w:p w14:paraId="7026B76F">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auto"/>
                      <w:sz w:val="24"/>
                      <w:szCs w:val="24"/>
                      <w:lang w:val="en-US" w:eastAsia="zh-CN"/>
                    </w:rPr>
                    <w:t>第1/</w:t>
                  </w:r>
                  <w:r>
                    <w:rPr>
                      <w:rFonts w:hint="eastAsia" w:cs="Times New Roman"/>
                      <w:color w:val="auto"/>
                      <w:sz w:val="24"/>
                      <w:szCs w:val="24"/>
                      <w:lang w:val="en-US" w:eastAsia="zh-CN"/>
                    </w:rPr>
                    <w:t>10</w:t>
                  </w:r>
                  <w:r>
                    <w:rPr>
                      <w:rFonts w:hint="default" w:ascii="Times New Roman" w:hAnsi="Times New Roman" w:eastAsia="宋体" w:cs="Times New Roman"/>
                      <w:color w:val="auto"/>
                      <w:sz w:val="24"/>
                      <w:szCs w:val="24"/>
                      <w:lang w:val="en-US" w:eastAsia="zh-CN"/>
                    </w:rPr>
                    <w:t>页</w:t>
                  </w:r>
                </w:p>
              </w:tc>
            </w:tr>
            <w:tr w14:paraId="0E8DF2BD">
              <w:trPr>
                <w:cantSplit/>
                <w:trHeight w:val="567" w:hRule="atLeast"/>
              </w:trPr>
              <w:tc>
                <w:tcPr>
                  <w:tcW w:w="1603" w:type="dxa"/>
                  <w:vAlign w:val="bottom"/>
                </w:tcPr>
                <w:p w14:paraId="7255569C">
                  <w:pPr>
                    <w:pageBreakBefore w:val="0"/>
                    <w:kinsoku/>
                    <w:wordWrap/>
                    <w:overflowPunct/>
                    <w:topLinePunct w:val="0"/>
                    <w:autoSpaceDE/>
                    <w:autoSpaceDN/>
                    <w:bidi w:val="0"/>
                    <w:adjustRightInd/>
                    <w:snapToGrid/>
                    <w:spacing w:line="280" w:lineRule="exact"/>
                    <w:ind w:left="0" w:leftChars="0"/>
                    <w:jc w:val="center"/>
                    <w:rPr>
                      <w:rFonts w:hint="eastAsia" w:ascii="宋体" w:hAnsi="宋体" w:eastAsia="宋体"/>
                      <w:color w:val="000000" w:themeColor="text1"/>
                      <w:sz w:val="24"/>
                      <w:lang w:eastAsia="zh-CN"/>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起草</w:t>
                  </w:r>
                  <w:r>
                    <w:rPr>
                      <w:rFonts w:hint="eastAsia" w:ascii="宋体" w:hAnsi="宋体"/>
                      <w:color w:val="000000" w:themeColor="text1"/>
                      <w:sz w:val="24"/>
                      <w14:textFill>
                        <w14:solidFill>
                          <w14:schemeClr w14:val="tx1"/>
                        </w14:solidFill>
                      </w14:textFill>
                    </w:rPr>
                    <w:t>部门</w:t>
                  </w:r>
                  <w:r>
                    <w:rPr>
                      <w:rFonts w:hint="eastAsia" w:ascii="宋体" w:hAnsi="宋体"/>
                      <w:color w:val="000000" w:themeColor="text1"/>
                      <w:sz w:val="24"/>
                      <w:lang w:eastAsia="zh-CN"/>
                      <w14:textFill>
                        <w14:solidFill>
                          <w14:schemeClr w14:val="tx1"/>
                        </w14:solidFill>
                      </w14:textFill>
                    </w:rPr>
                    <w:t>：</w:t>
                  </w:r>
                </w:p>
              </w:tc>
              <w:tc>
                <w:tcPr>
                  <w:tcW w:w="3614" w:type="dxa"/>
                  <w:gridSpan w:val="3"/>
                  <w:tcBorders>
                    <w:top w:val="single" w:color="auto" w:sz="4" w:space="0"/>
                    <w:bottom w:val="single" w:color="auto" w:sz="4" w:space="0"/>
                  </w:tcBorders>
                  <w:vAlign w:val="bottom"/>
                </w:tcPr>
                <w:p w14:paraId="15C1D542">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宋体" w:hAnsi="宋体"/>
                      <w:color w:val="000000" w:themeColor="text1"/>
                      <w:sz w:val="22"/>
                      <w:szCs w:val="22"/>
                      <w:lang w:val="en-US" w:eastAsia="zh-CN"/>
                      <w14:textFill>
                        <w14:solidFill>
                          <w14:schemeClr w14:val="tx1"/>
                        </w14:solidFill>
                      </w14:textFill>
                    </w:rPr>
                  </w:pPr>
                  <w:r>
                    <w:rPr>
                      <w:rFonts w:hint="default" w:ascii="Times New Roman" w:hAnsi="Times New Roman" w:eastAsia="宋体" w:cs="Times New Roman"/>
                      <w:color w:val="auto"/>
                      <w:sz w:val="24"/>
                      <w:szCs w:val="24"/>
                      <w:lang w:val="en-US" w:eastAsia="zh-CN"/>
                    </w:rPr>
                    <w:t>质量保证部</w:t>
                  </w:r>
                </w:p>
              </w:tc>
            </w:tr>
            <w:tr w14:paraId="4540AEA4">
              <w:trPr>
                <w:cantSplit/>
                <w:trHeight w:val="567" w:hRule="atLeast"/>
              </w:trPr>
              <w:tc>
                <w:tcPr>
                  <w:tcW w:w="1603" w:type="dxa"/>
                  <w:vAlign w:val="bottom"/>
                </w:tcPr>
                <w:p w14:paraId="2287E5C0">
                  <w:pPr>
                    <w:pageBreakBefore w:val="0"/>
                    <w:kinsoku/>
                    <w:wordWrap/>
                    <w:overflowPunct/>
                    <w:topLinePunct w:val="0"/>
                    <w:autoSpaceDE/>
                    <w:autoSpaceDN/>
                    <w:bidi w:val="0"/>
                    <w:adjustRightInd/>
                    <w:snapToGrid/>
                    <w:spacing w:line="280" w:lineRule="exact"/>
                    <w:ind w:left="0" w:leftChars="0"/>
                    <w:jc w:val="center"/>
                    <w:rPr>
                      <w:rFonts w:hint="eastAsia" w:ascii="宋体" w:hAnsi="宋体" w:eastAsia="宋体"/>
                      <w:color w:val="000000" w:themeColor="text1"/>
                      <w:sz w:val="24"/>
                      <w:lang w:val="en-US" w:eastAsia="zh-CN"/>
                      <w14:textFill>
                        <w14:solidFill>
                          <w14:schemeClr w14:val="tx1"/>
                        </w14:solidFill>
                      </w14:textFill>
                    </w:rPr>
                  </w:pPr>
                  <w:r>
                    <w:rPr>
                      <w:rFonts w:hint="eastAsia" w:ascii="宋体" w:hAnsi="宋体"/>
                      <w:color w:val="000000" w:themeColor="text1"/>
                      <w:sz w:val="24"/>
                      <w14:textFill>
                        <w14:solidFill>
                          <w14:schemeClr w14:val="tx1"/>
                        </w14:solidFill>
                      </w14:textFill>
                    </w:rPr>
                    <w:t>生效日期</w:t>
                  </w:r>
                  <w:r>
                    <w:rPr>
                      <w:rFonts w:hint="eastAsia" w:ascii="宋体" w:hAnsi="宋体"/>
                      <w:color w:val="000000" w:themeColor="text1"/>
                      <w:sz w:val="24"/>
                      <w:lang w:eastAsia="zh-CN"/>
                      <w14:textFill>
                        <w14:solidFill>
                          <w14:schemeClr w14:val="tx1"/>
                        </w14:solidFill>
                      </w14:textFill>
                    </w:rPr>
                    <w:t>：</w:t>
                  </w:r>
                </w:p>
              </w:tc>
              <w:tc>
                <w:tcPr>
                  <w:tcW w:w="3614" w:type="dxa"/>
                  <w:gridSpan w:val="3"/>
                  <w:tcBorders>
                    <w:top w:val="single" w:color="auto" w:sz="4" w:space="0"/>
                    <w:bottom w:val="single" w:color="auto" w:sz="4" w:space="0"/>
                  </w:tcBorders>
                  <w:vAlign w:val="bottom"/>
                </w:tcPr>
                <w:p w14:paraId="4EADEAD1">
                  <w:pPr>
                    <w:pageBreakBefore w:val="0"/>
                    <w:widowControl/>
                    <w:kinsoku/>
                    <w:wordWrap/>
                    <w:overflowPunct/>
                    <w:topLinePunct w:val="0"/>
                    <w:autoSpaceDE/>
                    <w:autoSpaceDN/>
                    <w:bidi w:val="0"/>
                    <w:adjustRightInd/>
                    <w:snapToGrid/>
                    <w:spacing w:line="240" w:lineRule="auto"/>
                    <w:ind w:left="0" w:leftChars="0"/>
                    <w:jc w:val="center"/>
                    <w:textAlignment w:val="center"/>
                    <w:rPr>
                      <w:rFonts w:ascii="宋体" w:hAnsi="宋体"/>
                      <w:color w:val="000000" w:themeColor="text1"/>
                      <w:sz w:val="24"/>
                      <w14:textFill>
                        <w14:solidFill>
                          <w14:schemeClr w14:val="tx1"/>
                        </w14:solidFill>
                      </w14:textFill>
                    </w:rPr>
                  </w:pPr>
                </w:p>
              </w:tc>
            </w:tr>
          </w:tbl>
          <w:p w14:paraId="7170C469">
            <w:pPr>
              <w:pageBreakBefore w:val="0"/>
              <w:kinsoku/>
              <w:wordWrap/>
              <w:overflowPunct/>
              <w:topLinePunct w:val="0"/>
              <w:autoSpaceDE/>
              <w:autoSpaceDN/>
              <w:bidi w:val="0"/>
              <w:adjustRightInd/>
              <w:snapToGrid/>
              <w:ind w:left="0" w:leftChars="0"/>
              <w:rPr>
                <w:rFonts w:hint="eastAsia"/>
                <w:color w:val="000000" w:themeColor="text1"/>
                <w:sz w:val="28"/>
                <w14:textFill>
                  <w14:solidFill>
                    <w14:schemeClr w14:val="tx1"/>
                  </w14:solidFill>
                </w14:textFill>
              </w:rPr>
            </w:pPr>
          </w:p>
          <w:p w14:paraId="220F2B87">
            <w:pPr>
              <w:pageBreakBefore w:val="0"/>
              <w:kinsoku/>
              <w:wordWrap/>
              <w:overflowPunct/>
              <w:topLinePunct w:val="0"/>
              <w:autoSpaceDE/>
              <w:autoSpaceDN/>
              <w:bidi w:val="0"/>
              <w:adjustRightInd/>
              <w:snapToGrid/>
              <w:ind w:left="0" w:leftChars="0"/>
              <w:rPr>
                <w:rFonts w:hint="eastAsia"/>
                <w:color w:val="000000" w:themeColor="text1"/>
                <w:sz w:val="28"/>
                <w14:textFill>
                  <w14:solidFill>
                    <w14:schemeClr w14:val="tx1"/>
                  </w14:solidFill>
                </w14:textFill>
              </w:rPr>
            </w:pPr>
          </w:p>
          <w:p w14:paraId="302D874C">
            <w:pPr>
              <w:pageBreakBefore w:val="0"/>
              <w:kinsoku/>
              <w:wordWrap/>
              <w:overflowPunct/>
              <w:topLinePunct w:val="0"/>
              <w:autoSpaceDE/>
              <w:autoSpaceDN/>
              <w:bidi w:val="0"/>
              <w:adjustRightInd/>
              <w:snapToGrid/>
              <w:ind w:left="0" w:leftChars="0"/>
              <w:rPr>
                <w:rFonts w:hint="eastAsia"/>
                <w:color w:val="000000" w:themeColor="text1"/>
                <w:sz w:val="28"/>
                <w14:textFill>
                  <w14:solidFill>
                    <w14:schemeClr w14:val="tx1"/>
                  </w14:solidFill>
                </w14:textFill>
              </w:rPr>
            </w:pPr>
          </w:p>
        </w:tc>
      </w:tr>
      <w:tr w14:paraId="169F8F96">
        <w:trPr>
          <w:trHeight w:val="658" w:hRule="atLeast"/>
        </w:trPr>
        <w:tc>
          <w:tcPr>
            <w:tcW w:w="1155" w:type="dxa"/>
            <w:tcBorders>
              <w:top w:val="single" w:color="auto" w:sz="6" w:space="0"/>
              <w:bottom w:val="single" w:color="auto" w:sz="6" w:space="0"/>
              <w:right w:val="single" w:color="auto" w:sz="6" w:space="0"/>
            </w:tcBorders>
            <w:noWrap w:val="0"/>
            <w:vAlign w:val="center"/>
          </w:tcPr>
          <w:p w14:paraId="5FB93590">
            <w:pPr>
              <w:pageBreakBefore w:val="0"/>
              <w:kinsoku/>
              <w:wordWrap/>
              <w:overflowPunct/>
              <w:topLinePunct w:val="0"/>
              <w:autoSpaceDE/>
              <w:autoSpaceDN/>
              <w:bidi w:val="0"/>
              <w:adjustRightInd/>
              <w:snapToGrid/>
              <w:ind w:left="0" w:leftChars="0"/>
              <w:jc w:val="center"/>
              <w:rPr>
                <w:rFonts w:hint="eastAsia" w:ascii="Times New Roman" w:hAnsi="Times New Roman" w:eastAsia="宋体" w:cs="Times New Roman"/>
                <w:color w:val="000000" w:themeColor="text1"/>
                <w:kern w:val="2"/>
                <w:sz w:val="22"/>
                <w:szCs w:val="22"/>
                <w:lang w:val="en-US" w:eastAsia="zh-CN" w:bidi="ar-SA"/>
                <w14:textFill>
                  <w14:solidFill>
                    <w14:schemeClr w14:val="tx1"/>
                  </w14:solidFill>
                </w14:textFill>
              </w:rPr>
            </w:pPr>
            <w:r>
              <w:rPr>
                <w:rFonts w:hint="eastAsia" w:cs="Times New Roman"/>
                <w:color w:val="000000" w:themeColor="text1"/>
                <w:sz w:val="22"/>
                <w:szCs w:val="22"/>
                <w:lang w:val="en-US" w:eastAsia="zh-CN"/>
                <w14:textFill>
                  <w14:solidFill>
                    <w14:schemeClr w14:val="tx1"/>
                  </w14:solidFill>
                </w14:textFill>
              </w:rPr>
              <w:t>部门</w:t>
            </w:r>
          </w:p>
        </w:tc>
        <w:tc>
          <w:tcPr>
            <w:tcW w:w="2937" w:type="dxa"/>
            <w:tcBorders>
              <w:top w:val="single" w:color="auto" w:sz="6" w:space="0"/>
              <w:bottom w:val="single" w:color="auto" w:sz="6" w:space="0"/>
              <w:right w:val="single" w:color="auto" w:sz="6" w:space="0"/>
            </w:tcBorders>
            <w:noWrap w:val="0"/>
            <w:vAlign w:val="center"/>
          </w:tcPr>
          <w:p w14:paraId="20E75552">
            <w:pPr>
              <w:pageBreakBefore w:val="0"/>
              <w:kinsoku/>
              <w:wordWrap/>
              <w:overflowPunct/>
              <w:topLinePunct w:val="0"/>
              <w:autoSpaceDE/>
              <w:autoSpaceDN/>
              <w:bidi w:val="0"/>
              <w:adjustRightInd/>
              <w:snapToGrid/>
              <w:ind w:left="0" w:leftChars="0"/>
              <w:jc w:val="center"/>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cs="Times New Roman"/>
                <w:color w:val="000000" w:themeColor="text1"/>
                <w:kern w:val="2"/>
                <w:sz w:val="22"/>
                <w:szCs w:val="22"/>
                <w:lang w:val="en-US" w:eastAsia="zh-CN" w:bidi="ar-SA"/>
                <w14:textFill>
                  <w14:solidFill>
                    <w14:schemeClr w14:val="tx1"/>
                  </w14:solidFill>
                </w14:textFill>
              </w:rPr>
              <w:t>起草人</w:t>
            </w:r>
          </w:p>
        </w:tc>
        <w:tc>
          <w:tcPr>
            <w:tcW w:w="2990" w:type="dxa"/>
            <w:tcBorders>
              <w:top w:val="single" w:color="auto" w:sz="6" w:space="0"/>
              <w:bottom w:val="single" w:color="auto" w:sz="6" w:space="0"/>
              <w:right w:val="single" w:color="auto" w:sz="6" w:space="0"/>
            </w:tcBorders>
            <w:noWrap w:val="0"/>
            <w:vAlign w:val="center"/>
          </w:tcPr>
          <w:p w14:paraId="2EA78D09">
            <w:pPr>
              <w:pageBreakBefore w:val="0"/>
              <w:kinsoku/>
              <w:wordWrap/>
              <w:overflowPunct/>
              <w:topLinePunct w:val="0"/>
              <w:autoSpaceDE/>
              <w:autoSpaceDN/>
              <w:bidi w:val="0"/>
              <w:adjustRightInd/>
              <w:snapToGrid/>
              <w:ind w:left="0" w:leftChars="0"/>
              <w:jc w:val="center"/>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cs="Times New Roman"/>
                <w:color w:val="000000" w:themeColor="text1"/>
                <w:sz w:val="22"/>
                <w:szCs w:val="22"/>
                <w:lang w:eastAsia="zh-CN"/>
                <w14:textFill>
                  <w14:solidFill>
                    <w14:schemeClr w14:val="tx1"/>
                  </w14:solidFill>
                </w14:textFill>
              </w:rPr>
              <w:t>分管副总审核</w:t>
            </w:r>
          </w:p>
        </w:tc>
        <w:tc>
          <w:tcPr>
            <w:tcW w:w="3286" w:type="dxa"/>
            <w:tcBorders>
              <w:top w:val="single" w:color="auto" w:sz="6" w:space="0"/>
              <w:left w:val="single" w:color="auto" w:sz="6" w:space="0"/>
              <w:bottom w:val="single" w:color="auto" w:sz="6" w:space="0"/>
            </w:tcBorders>
            <w:noWrap w:val="0"/>
            <w:vAlign w:val="center"/>
          </w:tcPr>
          <w:p w14:paraId="6FA781ED">
            <w:pPr>
              <w:pageBreakBefore w:val="0"/>
              <w:kinsoku/>
              <w:wordWrap/>
              <w:overflowPunct/>
              <w:topLinePunct w:val="0"/>
              <w:autoSpaceDE/>
              <w:autoSpaceDN/>
              <w:bidi w:val="0"/>
              <w:adjustRightInd/>
              <w:snapToGrid/>
              <w:ind w:left="0" w:leftChars="0"/>
              <w:jc w:val="center"/>
              <w:rPr>
                <w:rFonts w:hint="eastAsia" w:ascii="Times New Roman" w:hAnsi="Times New Roman" w:eastAsia="宋体" w:cs="Times New Roman"/>
                <w:color w:val="000000" w:themeColor="text1"/>
                <w:sz w:val="22"/>
                <w:szCs w:val="22"/>
                <w:lang w:eastAsia="zh-CN"/>
                <w14:textFill>
                  <w14:solidFill>
                    <w14:schemeClr w14:val="tx1"/>
                  </w14:solidFill>
                </w14:textFill>
              </w:rPr>
            </w:pPr>
            <w:r>
              <w:rPr>
                <w:rFonts w:hint="eastAsia" w:cs="Times New Roman"/>
                <w:color w:val="000000" w:themeColor="text1"/>
                <w:sz w:val="22"/>
                <w:szCs w:val="22"/>
                <w:lang w:eastAsia="zh-CN"/>
                <w14:textFill>
                  <w14:solidFill>
                    <w14:schemeClr w14:val="tx1"/>
                  </w14:solidFill>
                </w14:textFill>
              </w:rPr>
              <w:t>总经理批准</w:t>
            </w:r>
          </w:p>
        </w:tc>
      </w:tr>
      <w:tr w14:paraId="5D34E67E">
        <w:trPr>
          <w:trHeight w:val="658" w:hRule="atLeast"/>
        </w:trPr>
        <w:tc>
          <w:tcPr>
            <w:tcW w:w="1155" w:type="dxa"/>
            <w:tcBorders>
              <w:top w:val="single" w:color="auto" w:sz="6" w:space="0"/>
              <w:bottom w:val="single" w:color="auto" w:sz="6" w:space="0"/>
              <w:right w:val="single" w:color="auto" w:sz="6" w:space="0"/>
            </w:tcBorders>
            <w:noWrap w:val="0"/>
            <w:vAlign w:val="center"/>
          </w:tcPr>
          <w:p w14:paraId="2DB51170">
            <w:pPr>
              <w:pageBreakBefore w:val="0"/>
              <w:kinsoku/>
              <w:wordWrap/>
              <w:overflowPunct/>
              <w:topLinePunct w:val="0"/>
              <w:autoSpaceDE/>
              <w:autoSpaceDN/>
              <w:bidi w:val="0"/>
              <w:adjustRightInd/>
              <w:snapToGrid/>
              <w:ind w:left="0" w:leftChars="0"/>
              <w:jc w:val="center"/>
              <w:rPr>
                <w:rFonts w:hint="default" w:ascii="Times New Roman" w:hAnsi="Times New Roman" w:eastAsia="宋体" w:cs="Times New Roman"/>
                <w:color w:val="000000" w:themeColor="text1"/>
                <w:sz w:val="22"/>
                <w:szCs w:val="22"/>
                <w:lang w:val="en-US" w:eastAsia="zh-CN"/>
                <w14:textFill>
                  <w14:solidFill>
                    <w14:schemeClr w14:val="tx1"/>
                  </w14:solidFill>
                </w14:textFill>
              </w:rPr>
            </w:pPr>
            <w:r>
              <w:rPr>
                <w:rFonts w:hint="eastAsia" w:cs="Times New Roman"/>
                <w:color w:val="000000" w:themeColor="text1"/>
                <w:sz w:val="22"/>
                <w:szCs w:val="22"/>
                <w:lang w:val="en-US" w:eastAsia="zh-CN"/>
                <w14:textFill>
                  <w14:solidFill>
                    <w14:schemeClr w14:val="tx1"/>
                  </w14:solidFill>
                </w14:textFill>
              </w:rPr>
              <w:t xml:space="preserve"> 签名：</w:t>
            </w:r>
          </w:p>
        </w:tc>
        <w:tc>
          <w:tcPr>
            <w:tcW w:w="2937" w:type="dxa"/>
            <w:tcBorders>
              <w:top w:val="single" w:color="auto" w:sz="6" w:space="0"/>
              <w:bottom w:val="single" w:color="auto" w:sz="6" w:space="0"/>
              <w:right w:val="single" w:color="auto" w:sz="6" w:space="0"/>
            </w:tcBorders>
            <w:noWrap w:val="0"/>
            <w:vAlign w:val="center"/>
          </w:tcPr>
          <w:p w14:paraId="13B7E048">
            <w:pPr>
              <w:pageBreakBefore w:val="0"/>
              <w:kinsoku/>
              <w:wordWrap/>
              <w:overflowPunct/>
              <w:topLinePunct w:val="0"/>
              <w:autoSpaceDE/>
              <w:autoSpaceDN/>
              <w:bidi w:val="0"/>
              <w:adjustRightInd/>
              <w:snapToGrid/>
              <w:ind w:left="0" w:leftChars="0"/>
              <w:jc w:val="center"/>
              <w:rPr>
                <w:rFonts w:hint="default" w:ascii="Times New Roman" w:hAnsi="Times New Roman" w:eastAsia="宋体" w:cs="Times New Roman"/>
                <w:color w:val="000000" w:themeColor="text1"/>
                <w:sz w:val="22"/>
                <w:szCs w:val="22"/>
                <w14:textFill>
                  <w14:solidFill>
                    <w14:schemeClr w14:val="tx1"/>
                  </w14:solidFill>
                </w14:textFill>
              </w:rPr>
            </w:pPr>
          </w:p>
        </w:tc>
        <w:tc>
          <w:tcPr>
            <w:tcW w:w="2990" w:type="dxa"/>
            <w:tcBorders>
              <w:top w:val="single" w:color="auto" w:sz="6" w:space="0"/>
              <w:bottom w:val="single" w:color="auto" w:sz="6" w:space="0"/>
              <w:right w:val="single" w:color="auto" w:sz="6" w:space="0"/>
            </w:tcBorders>
            <w:noWrap w:val="0"/>
            <w:vAlign w:val="center"/>
          </w:tcPr>
          <w:p w14:paraId="40F809AD">
            <w:pPr>
              <w:pageBreakBefore w:val="0"/>
              <w:kinsoku/>
              <w:wordWrap/>
              <w:overflowPunct/>
              <w:topLinePunct w:val="0"/>
              <w:autoSpaceDE/>
              <w:autoSpaceDN/>
              <w:bidi w:val="0"/>
              <w:adjustRightInd/>
              <w:snapToGrid/>
              <w:ind w:left="0" w:leftChars="0"/>
              <w:jc w:val="center"/>
              <w:rPr>
                <w:rFonts w:hint="default" w:ascii="Times New Roman" w:hAnsi="Times New Roman" w:eastAsia="宋体" w:cs="Times New Roman"/>
                <w:color w:val="000000" w:themeColor="text1"/>
                <w:sz w:val="22"/>
                <w:szCs w:val="22"/>
                <w14:textFill>
                  <w14:solidFill>
                    <w14:schemeClr w14:val="tx1"/>
                  </w14:solidFill>
                </w14:textFill>
              </w:rPr>
            </w:pPr>
          </w:p>
        </w:tc>
        <w:tc>
          <w:tcPr>
            <w:tcW w:w="3286" w:type="dxa"/>
            <w:tcBorders>
              <w:top w:val="single" w:color="auto" w:sz="6" w:space="0"/>
              <w:left w:val="single" w:color="auto" w:sz="6" w:space="0"/>
              <w:bottom w:val="single" w:color="auto" w:sz="4" w:space="0"/>
              <w:right w:val="single" w:color="auto" w:sz="6" w:space="0"/>
            </w:tcBorders>
            <w:noWrap w:val="0"/>
            <w:vAlign w:val="center"/>
          </w:tcPr>
          <w:p w14:paraId="5E65B4C2">
            <w:pPr>
              <w:pageBreakBefore w:val="0"/>
              <w:kinsoku/>
              <w:wordWrap/>
              <w:overflowPunct/>
              <w:topLinePunct w:val="0"/>
              <w:autoSpaceDE/>
              <w:autoSpaceDN/>
              <w:bidi w:val="0"/>
              <w:adjustRightInd/>
              <w:snapToGrid/>
              <w:ind w:left="0" w:leftChars="0"/>
              <w:jc w:val="center"/>
              <w:rPr>
                <w:rFonts w:hint="default" w:ascii="Times New Roman" w:hAnsi="Times New Roman" w:eastAsia="宋体" w:cs="Times New Roman"/>
                <w:color w:val="000000" w:themeColor="text1"/>
                <w:sz w:val="22"/>
                <w:szCs w:val="22"/>
                <w14:textFill>
                  <w14:solidFill>
                    <w14:schemeClr w14:val="tx1"/>
                  </w14:solidFill>
                </w14:textFill>
              </w:rPr>
            </w:pPr>
          </w:p>
        </w:tc>
      </w:tr>
      <w:tr w14:paraId="3095B1C2">
        <w:trPr>
          <w:trHeight w:val="678" w:hRule="atLeast"/>
        </w:trPr>
        <w:tc>
          <w:tcPr>
            <w:tcW w:w="1155" w:type="dxa"/>
            <w:tcBorders>
              <w:top w:val="single" w:color="auto" w:sz="6" w:space="0"/>
              <w:bottom w:val="double" w:color="auto" w:sz="4" w:space="0"/>
              <w:right w:val="single" w:color="auto" w:sz="6" w:space="0"/>
            </w:tcBorders>
            <w:noWrap w:val="0"/>
            <w:vAlign w:val="center"/>
          </w:tcPr>
          <w:p w14:paraId="458CE6A0">
            <w:pPr>
              <w:pageBreakBefore w:val="0"/>
              <w:kinsoku/>
              <w:wordWrap/>
              <w:overflowPunct/>
              <w:topLinePunct w:val="0"/>
              <w:autoSpaceDE/>
              <w:autoSpaceDN/>
              <w:bidi w:val="0"/>
              <w:adjustRightInd/>
              <w:snapToGrid/>
              <w:ind w:left="0" w:leftChars="0"/>
              <w:jc w:val="center"/>
              <w:rPr>
                <w:rFonts w:hint="default" w:ascii="Times New Roman" w:hAnsi="Times New Roman" w:eastAsia="宋体" w:cs="Times New Roman"/>
                <w:color w:val="000000" w:themeColor="text1"/>
                <w:sz w:val="22"/>
                <w:szCs w:val="22"/>
                <w14:textFill>
                  <w14:solidFill>
                    <w14:schemeClr w14:val="tx1"/>
                  </w14:solidFill>
                </w14:textFill>
              </w:rPr>
            </w:pPr>
            <w:r>
              <w:rPr>
                <w:rFonts w:hint="eastAsia" w:cs="Times New Roman"/>
                <w:color w:val="000000" w:themeColor="text1"/>
                <w:sz w:val="22"/>
                <w:szCs w:val="22"/>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2"/>
                <w:szCs w:val="22"/>
                <w14:textFill>
                  <w14:solidFill>
                    <w14:schemeClr w14:val="tx1"/>
                  </w14:solidFill>
                </w14:textFill>
              </w:rPr>
              <w:t>日期：</w:t>
            </w:r>
          </w:p>
        </w:tc>
        <w:tc>
          <w:tcPr>
            <w:tcW w:w="2937" w:type="dxa"/>
            <w:tcBorders>
              <w:top w:val="single" w:color="auto" w:sz="6" w:space="0"/>
              <w:bottom w:val="double" w:color="auto" w:sz="4" w:space="0"/>
              <w:right w:val="single" w:color="auto" w:sz="6" w:space="0"/>
            </w:tcBorders>
            <w:noWrap w:val="0"/>
            <w:vAlign w:val="center"/>
          </w:tcPr>
          <w:p w14:paraId="46000E75">
            <w:pPr>
              <w:pageBreakBefore w:val="0"/>
              <w:kinsoku/>
              <w:wordWrap/>
              <w:overflowPunct/>
              <w:topLinePunct w:val="0"/>
              <w:autoSpaceDE/>
              <w:autoSpaceDN/>
              <w:bidi w:val="0"/>
              <w:adjustRightInd/>
              <w:snapToGrid/>
              <w:ind w:left="0" w:leftChars="0"/>
              <w:jc w:val="center"/>
              <w:rPr>
                <w:rFonts w:hint="default" w:ascii="Times New Roman" w:hAnsi="Times New Roman" w:eastAsia="宋体" w:cs="Times New Roman"/>
                <w:color w:val="000000" w:themeColor="text1"/>
                <w:sz w:val="22"/>
                <w:szCs w:val="22"/>
                <w14:textFill>
                  <w14:solidFill>
                    <w14:schemeClr w14:val="tx1"/>
                  </w14:solidFill>
                </w14:textFill>
              </w:rPr>
            </w:pPr>
          </w:p>
        </w:tc>
        <w:tc>
          <w:tcPr>
            <w:tcW w:w="2990" w:type="dxa"/>
            <w:tcBorders>
              <w:top w:val="single" w:color="auto" w:sz="6" w:space="0"/>
              <w:bottom w:val="double" w:color="auto" w:sz="4" w:space="0"/>
              <w:right w:val="single" w:color="auto" w:sz="6" w:space="0"/>
            </w:tcBorders>
            <w:noWrap w:val="0"/>
            <w:vAlign w:val="center"/>
          </w:tcPr>
          <w:p w14:paraId="2579FDEE">
            <w:pPr>
              <w:pageBreakBefore w:val="0"/>
              <w:kinsoku/>
              <w:wordWrap/>
              <w:overflowPunct/>
              <w:topLinePunct w:val="0"/>
              <w:autoSpaceDE/>
              <w:autoSpaceDN/>
              <w:bidi w:val="0"/>
              <w:adjustRightInd/>
              <w:snapToGrid/>
              <w:ind w:left="0" w:leftChars="0"/>
              <w:jc w:val="center"/>
              <w:rPr>
                <w:rFonts w:hint="default" w:ascii="Times New Roman" w:hAnsi="Times New Roman" w:eastAsia="宋体" w:cs="Times New Roman"/>
                <w:color w:val="000000" w:themeColor="text1"/>
                <w:sz w:val="22"/>
                <w:szCs w:val="22"/>
                <w14:textFill>
                  <w14:solidFill>
                    <w14:schemeClr w14:val="tx1"/>
                  </w14:solidFill>
                </w14:textFill>
              </w:rPr>
            </w:pPr>
          </w:p>
        </w:tc>
        <w:tc>
          <w:tcPr>
            <w:tcW w:w="3286" w:type="dxa"/>
            <w:tcBorders>
              <w:top w:val="single" w:color="auto" w:sz="4" w:space="0"/>
              <w:left w:val="single" w:color="auto" w:sz="6" w:space="0"/>
              <w:bottom w:val="single" w:color="auto" w:sz="6" w:space="0"/>
              <w:right w:val="single" w:color="auto" w:sz="6" w:space="0"/>
            </w:tcBorders>
            <w:noWrap w:val="0"/>
            <w:vAlign w:val="center"/>
          </w:tcPr>
          <w:p w14:paraId="5508886D">
            <w:pPr>
              <w:pageBreakBefore w:val="0"/>
              <w:kinsoku/>
              <w:wordWrap/>
              <w:overflowPunct/>
              <w:topLinePunct w:val="0"/>
              <w:autoSpaceDE/>
              <w:autoSpaceDN/>
              <w:bidi w:val="0"/>
              <w:adjustRightInd/>
              <w:snapToGrid/>
              <w:ind w:left="0" w:leftChars="0"/>
              <w:jc w:val="center"/>
              <w:rPr>
                <w:rFonts w:hint="default" w:ascii="Times New Roman" w:hAnsi="Times New Roman" w:eastAsia="宋体" w:cs="Times New Roman"/>
                <w:color w:val="000000" w:themeColor="text1"/>
                <w:sz w:val="22"/>
                <w:szCs w:val="22"/>
                <w14:textFill>
                  <w14:solidFill>
                    <w14:schemeClr w14:val="tx1"/>
                  </w14:solidFill>
                </w14:textFill>
              </w:rPr>
            </w:pPr>
          </w:p>
        </w:tc>
      </w:tr>
    </w:tbl>
    <w:p w14:paraId="457FDD33">
      <w:pPr>
        <w:rPr>
          <w:rFonts w:hint="eastAsia"/>
          <w:color w:val="000000" w:themeColor="text1"/>
          <w14:textFill>
            <w14:solidFill>
              <w14:schemeClr w14:val="tx1"/>
            </w14:solidFill>
          </w14:textFill>
        </w:rPr>
      </w:pPr>
    </w:p>
    <w:p w14:paraId="7FEC78BB">
      <w:pPr>
        <w:rPr>
          <w:rFonts w:hint="eastAsia"/>
          <w:color w:val="000000" w:themeColor="text1"/>
          <w14:textFill>
            <w14:solidFill>
              <w14:schemeClr w14:val="tx1"/>
            </w14:solidFill>
          </w14:textFill>
        </w:rPr>
        <w:sectPr>
          <w:headerReference r:id="rId9" w:type="first"/>
          <w:footerReference r:id="rId11" w:type="first"/>
          <w:headerReference r:id="rId7" w:type="default"/>
          <w:headerReference r:id="rId8" w:type="even"/>
          <w:footerReference r:id="rId10" w:type="even"/>
          <w:pgSz w:w="11906" w:h="16838"/>
          <w:pgMar w:top="1089" w:right="924" w:bottom="468" w:left="902" w:header="397" w:footer="284" w:gutter="0"/>
          <w:pgBorders w:offsetFrom="page">
            <w:top w:val="none" w:sz="0" w:space="0"/>
            <w:left w:val="none" w:sz="0" w:space="0"/>
            <w:bottom w:val="none" w:sz="0" w:space="0"/>
            <w:right w:val="none" w:sz="0" w:space="0"/>
          </w:pgBorders>
          <w:pgNumType w:start="2"/>
          <w:cols w:space="720" w:num="1"/>
          <w:docGrid w:type="lines" w:linePitch="312" w:charSpace="0"/>
        </w:sectPr>
      </w:pPr>
    </w:p>
    <w:tbl>
      <w:tblPr>
        <w:tblStyle w:val="22"/>
        <w:tblW w:w="10440" w:type="dxa"/>
        <w:tblInd w:w="-74"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101"/>
        <w:gridCol w:w="1470"/>
        <w:gridCol w:w="7149"/>
      </w:tblGrid>
      <w:tr w14:paraId="7B80CE42">
        <w:trPr>
          <w:trHeight w:val="465" w:hRule="atLeast"/>
        </w:trPr>
        <w:tc>
          <w:tcPr>
            <w:tcW w:w="10440" w:type="dxa"/>
            <w:gridSpan w:val="4"/>
            <w:noWrap w:val="0"/>
            <w:vAlign w:val="center"/>
          </w:tcPr>
          <w:p w14:paraId="5456A8D3">
            <w:pPr>
              <w:keepNext w:val="0"/>
              <w:keepLines w:val="0"/>
              <w:pageBreakBefore w:val="0"/>
              <w:widowControl w:val="0"/>
              <w:kinsoku/>
              <w:wordWrap/>
              <w:overflowPunct/>
              <w:topLinePunct w:val="0"/>
              <w:bidi w:val="0"/>
              <w:snapToGrid/>
              <w:spacing w:line="360" w:lineRule="auto"/>
              <w:ind w:left="0" w:leftChars="0"/>
              <w:jc w:val="center"/>
              <w:textAlignment w:val="auto"/>
              <w:rPr>
                <w:rFonts w:hint="eastAsia" w:ascii="Times New Roman" w:hAnsi="Times New Roman" w:eastAsia="宋体" w:cs="Times New Roman"/>
                <w:color w:val="000000" w:themeColor="text1"/>
                <w:sz w:val="52"/>
                <w:szCs w:val="52"/>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修 改 </w:t>
            </w:r>
            <w:r>
              <w:rPr>
                <w:rFonts w:hint="eastAsia" w:ascii="宋体" w:hAnsi="宋体" w:cs="宋体"/>
                <w:color w:val="000000" w:themeColor="text1"/>
                <w:sz w:val="24"/>
                <w:szCs w:val="24"/>
                <w:lang w:val="en-US" w:eastAsia="zh-CN"/>
                <w14:textFill>
                  <w14:solidFill>
                    <w14:schemeClr w14:val="tx1"/>
                  </w14:solidFill>
                </w14:textFill>
              </w:rPr>
              <w:t>历 史</w:t>
            </w:r>
          </w:p>
        </w:tc>
      </w:tr>
      <w:tr w14:paraId="022BF1D9">
        <w:trPr>
          <w:trHeight w:val="435" w:hRule="atLeast"/>
        </w:trPr>
        <w:tc>
          <w:tcPr>
            <w:tcW w:w="720" w:type="dxa"/>
            <w:noWrap w:val="0"/>
            <w:vAlign w:val="center"/>
          </w:tcPr>
          <w:p w14:paraId="6DB376EE">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14:textFill>
                  <w14:solidFill>
                    <w14:schemeClr w14:val="tx1"/>
                  </w14:solidFill>
                </w14:textFill>
              </w:rPr>
            </w:pPr>
            <w:r>
              <w:rPr>
                <w:rFonts w:hint="default" w:ascii="Times New Roman" w:hAnsi="Times New Roman" w:eastAsia="宋体" w:cs="Times New Roman"/>
                <w:color w:val="000000" w:themeColor="text1"/>
                <w:kern w:val="16"/>
                <w:szCs w:val="21"/>
                <w14:textFill>
                  <w14:solidFill>
                    <w14:schemeClr w14:val="tx1"/>
                  </w14:solidFill>
                </w14:textFill>
              </w:rPr>
              <w:t>序号</w:t>
            </w:r>
          </w:p>
        </w:tc>
        <w:tc>
          <w:tcPr>
            <w:tcW w:w="1101" w:type="dxa"/>
            <w:noWrap w:val="0"/>
            <w:vAlign w:val="center"/>
          </w:tcPr>
          <w:p w14:paraId="0A0FD427">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14:textFill>
                  <w14:solidFill>
                    <w14:schemeClr w14:val="tx1"/>
                  </w14:solidFill>
                </w14:textFill>
              </w:rPr>
            </w:pPr>
            <w:r>
              <w:rPr>
                <w:rFonts w:hint="default" w:ascii="Times New Roman" w:hAnsi="Times New Roman" w:eastAsia="宋体" w:cs="Times New Roman"/>
                <w:color w:val="000000" w:themeColor="text1"/>
                <w:kern w:val="16"/>
                <w:szCs w:val="21"/>
                <w14:textFill>
                  <w14:solidFill>
                    <w14:schemeClr w14:val="tx1"/>
                  </w14:solidFill>
                </w14:textFill>
              </w:rPr>
              <w:t>版次</w:t>
            </w:r>
          </w:p>
        </w:tc>
        <w:tc>
          <w:tcPr>
            <w:tcW w:w="1470" w:type="dxa"/>
            <w:noWrap w:val="0"/>
            <w:vAlign w:val="center"/>
          </w:tcPr>
          <w:p w14:paraId="06FAF3A8">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14:textFill>
                  <w14:solidFill>
                    <w14:schemeClr w14:val="tx1"/>
                  </w14:solidFill>
                </w14:textFill>
              </w:rPr>
            </w:pPr>
            <w:r>
              <w:rPr>
                <w:rFonts w:hint="default" w:ascii="Times New Roman" w:hAnsi="Times New Roman" w:eastAsia="宋体" w:cs="Times New Roman"/>
                <w:color w:val="000000" w:themeColor="text1"/>
                <w:kern w:val="16"/>
                <w:szCs w:val="21"/>
                <w:lang w:eastAsia="zh-CN"/>
                <w14:textFill>
                  <w14:solidFill>
                    <w14:schemeClr w14:val="tx1"/>
                  </w14:solidFill>
                </w14:textFill>
              </w:rPr>
              <w:t>生效</w:t>
            </w:r>
            <w:r>
              <w:rPr>
                <w:rFonts w:hint="default" w:ascii="Times New Roman" w:hAnsi="Times New Roman" w:eastAsia="宋体" w:cs="Times New Roman"/>
                <w:color w:val="000000" w:themeColor="text1"/>
                <w:kern w:val="16"/>
                <w:szCs w:val="21"/>
                <w14:textFill>
                  <w14:solidFill>
                    <w14:schemeClr w14:val="tx1"/>
                  </w14:solidFill>
                </w14:textFill>
              </w:rPr>
              <w:t>日期</w:t>
            </w:r>
          </w:p>
        </w:tc>
        <w:tc>
          <w:tcPr>
            <w:tcW w:w="7149" w:type="dxa"/>
            <w:noWrap w:val="0"/>
            <w:vAlign w:val="center"/>
          </w:tcPr>
          <w:p w14:paraId="5ADA6538">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14:textFill>
                  <w14:solidFill>
                    <w14:schemeClr w14:val="tx1"/>
                  </w14:solidFill>
                </w14:textFill>
              </w:rPr>
            </w:pPr>
            <w:r>
              <w:rPr>
                <w:rFonts w:hint="default" w:ascii="Times New Roman" w:hAnsi="Times New Roman" w:eastAsia="宋体" w:cs="Times New Roman"/>
                <w:color w:val="000000" w:themeColor="text1"/>
                <w:kern w:val="16"/>
                <w:szCs w:val="21"/>
                <w14:textFill>
                  <w14:solidFill>
                    <w14:schemeClr w14:val="tx1"/>
                  </w14:solidFill>
                </w14:textFill>
              </w:rPr>
              <w:t>修改内容</w:t>
            </w:r>
          </w:p>
        </w:tc>
      </w:tr>
      <w:tr w14:paraId="34FF4845">
        <w:trPr>
          <w:trHeight w:val="435" w:hRule="atLeast"/>
        </w:trPr>
        <w:tc>
          <w:tcPr>
            <w:tcW w:w="720" w:type="dxa"/>
            <w:noWrap w:val="0"/>
            <w:vAlign w:val="center"/>
          </w:tcPr>
          <w:p w14:paraId="3F20BBF5">
            <w:pPr>
              <w:keepNext w:val="0"/>
              <w:keepLines w:val="0"/>
              <w:pageBreakBefore w:val="0"/>
              <w:widowControl w:val="0"/>
              <w:kinsoku/>
              <w:wordWrap/>
              <w:overflowPunct/>
              <w:topLinePunct w:val="0"/>
              <w:bidi w:val="0"/>
              <w:snapToGrid/>
              <w:spacing w:line="360" w:lineRule="auto"/>
              <w:ind w:left="0" w:leftChars="0"/>
              <w:jc w:val="center"/>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1</w:t>
            </w:r>
          </w:p>
        </w:tc>
        <w:tc>
          <w:tcPr>
            <w:tcW w:w="1101" w:type="dxa"/>
            <w:noWrap w:val="0"/>
            <w:vAlign w:val="center"/>
          </w:tcPr>
          <w:p w14:paraId="23752362">
            <w:pPr>
              <w:keepNext w:val="0"/>
              <w:keepLines w:val="0"/>
              <w:pageBreakBefore w:val="0"/>
              <w:widowControl w:val="0"/>
              <w:kinsoku/>
              <w:wordWrap/>
              <w:overflowPunct/>
              <w:topLinePunct w:val="0"/>
              <w:bidi w:val="0"/>
              <w:snapToGrid/>
              <w:spacing w:line="360" w:lineRule="auto"/>
              <w:ind w:left="0" w:leftChars="0"/>
              <w:jc w:val="center"/>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auto"/>
                <w:lang w:val="en-US" w:eastAsia="zh-CN"/>
              </w:rPr>
              <w:t>A/0</w:t>
            </w:r>
          </w:p>
        </w:tc>
        <w:tc>
          <w:tcPr>
            <w:tcW w:w="1470" w:type="dxa"/>
            <w:noWrap w:val="0"/>
            <w:vAlign w:val="center"/>
          </w:tcPr>
          <w:p w14:paraId="3EA38AD8">
            <w:pPr>
              <w:keepNext w:val="0"/>
              <w:keepLines w:val="0"/>
              <w:pageBreakBefore w:val="0"/>
              <w:widowControl w:val="0"/>
              <w:kinsoku/>
              <w:wordWrap/>
              <w:overflowPunct/>
              <w:topLinePunct w:val="0"/>
              <w:bidi w:val="0"/>
              <w:snapToGrid/>
              <w:spacing w:line="360" w:lineRule="auto"/>
              <w:ind w:left="0" w:leftChars="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auto"/>
                <w:lang w:val="en-US" w:eastAsia="zh-CN"/>
              </w:rPr>
              <w:t>2024-05-10</w:t>
            </w:r>
          </w:p>
        </w:tc>
        <w:tc>
          <w:tcPr>
            <w:tcW w:w="7149" w:type="dxa"/>
            <w:noWrap w:val="0"/>
            <w:vAlign w:val="center"/>
          </w:tcPr>
          <w:p w14:paraId="118AD9A9">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lang w:eastAsia="zh-CN"/>
                <w14:textFill>
                  <w14:solidFill>
                    <w14:schemeClr w14:val="tx1"/>
                  </w14:solidFill>
                </w14:textFill>
              </w:rPr>
            </w:pPr>
            <w:r>
              <w:rPr>
                <w:rFonts w:hint="default" w:ascii="Times New Roman" w:hAnsi="Times New Roman" w:eastAsia="宋体" w:cs="Times New Roman"/>
                <w:color w:val="auto"/>
                <w:kern w:val="16"/>
                <w:szCs w:val="21"/>
                <w:lang w:val="en-US" w:eastAsia="zh-CN"/>
              </w:rPr>
              <w:t>全部</w:t>
            </w:r>
          </w:p>
        </w:tc>
      </w:tr>
      <w:tr w14:paraId="70F1DD00">
        <w:trPr>
          <w:trHeight w:val="450" w:hRule="atLeast"/>
        </w:trPr>
        <w:tc>
          <w:tcPr>
            <w:tcW w:w="720" w:type="dxa"/>
            <w:noWrap w:val="0"/>
            <w:vAlign w:val="center"/>
          </w:tcPr>
          <w:p w14:paraId="66448B20">
            <w:pPr>
              <w:keepNext w:val="0"/>
              <w:keepLines w:val="0"/>
              <w:pageBreakBefore w:val="0"/>
              <w:widowControl w:val="0"/>
              <w:kinsoku/>
              <w:wordWrap/>
              <w:overflowPunct/>
              <w:topLinePunct w:val="0"/>
              <w:bidi w:val="0"/>
              <w:snapToGrid/>
              <w:spacing w:line="360" w:lineRule="auto"/>
              <w:ind w:left="0" w:leftChars="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cs="Times New Roman"/>
                <w:color w:val="000000" w:themeColor="text1"/>
                <w:kern w:val="2"/>
                <w:sz w:val="21"/>
                <w:szCs w:val="24"/>
                <w:lang w:val="en-US" w:eastAsia="zh-CN" w:bidi="ar-SA"/>
                <w14:textFill>
                  <w14:solidFill>
                    <w14:schemeClr w14:val="tx1"/>
                  </w14:solidFill>
                </w14:textFill>
              </w:rPr>
              <w:t>2</w:t>
            </w:r>
          </w:p>
        </w:tc>
        <w:tc>
          <w:tcPr>
            <w:tcW w:w="1101" w:type="dxa"/>
            <w:noWrap w:val="0"/>
            <w:vAlign w:val="center"/>
          </w:tcPr>
          <w:p w14:paraId="259BC409">
            <w:pPr>
              <w:keepNext w:val="0"/>
              <w:keepLines w:val="0"/>
              <w:pageBreakBefore w:val="0"/>
              <w:widowControl w:val="0"/>
              <w:kinsoku/>
              <w:wordWrap/>
              <w:overflowPunct/>
              <w:topLinePunct w:val="0"/>
              <w:bidi w:val="0"/>
              <w:snapToGrid/>
              <w:spacing w:line="360" w:lineRule="auto"/>
              <w:ind w:left="0" w:leftChars="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default" w:ascii="Times New Roman" w:hAnsi="Times New Roman" w:eastAsia="宋体" w:cs="Times New Roman"/>
                <w:color w:val="auto"/>
                <w:lang w:val="en-US" w:eastAsia="zh-CN"/>
              </w:rPr>
              <w:t>A/</w:t>
            </w:r>
            <w:r>
              <w:rPr>
                <w:rFonts w:hint="eastAsia" w:cs="Times New Roman"/>
                <w:color w:val="auto"/>
                <w:lang w:val="en-US" w:eastAsia="zh-CN"/>
              </w:rPr>
              <w:t>2</w:t>
            </w:r>
          </w:p>
        </w:tc>
        <w:tc>
          <w:tcPr>
            <w:tcW w:w="1470" w:type="dxa"/>
            <w:noWrap w:val="0"/>
            <w:vAlign w:val="center"/>
          </w:tcPr>
          <w:p w14:paraId="28BFED15">
            <w:pPr>
              <w:keepNext w:val="0"/>
              <w:keepLines w:val="0"/>
              <w:pageBreakBefore w:val="0"/>
              <w:widowControl w:val="0"/>
              <w:kinsoku/>
              <w:wordWrap/>
              <w:overflowPunct/>
              <w:topLinePunct w:val="0"/>
              <w:bidi w:val="0"/>
              <w:snapToGrid/>
              <w:spacing w:line="360" w:lineRule="auto"/>
              <w:ind w:left="0" w:leftChars="0"/>
              <w:jc w:val="center"/>
              <w:textAlignment w:val="auto"/>
              <w:rPr>
                <w:rFonts w:hint="default" w:ascii="Times New Roman" w:hAnsi="Times New Roman" w:eastAsia="宋体" w:cs="Times New Roman"/>
                <w:color w:val="000000" w:themeColor="text1"/>
                <w:kern w:val="2"/>
                <w:sz w:val="21"/>
                <w:szCs w:val="24"/>
                <w:lang w:val="en-US" w:eastAsia="zh-CN" w:bidi="ar-SA"/>
                <w14:textFill>
                  <w14:solidFill>
                    <w14:schemeClr w14:val="tx1"/>
                  </w14:solidFill>
                </w14:textFill>
              </w:rPr>
            </w:pPr>
          </w:p>
        </w:tc>
        <w:tc>
          <w:tcPr>
            <w:tcW w:w="7149" w:type="dxa"/>
            <w:noWrap w:val="0"/>
            <w:vAlign w:val="center"/>
          </w:tcPr>
          <w:p w14:paraId="6BBD47D9">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jc w:val="left"/>
              <w:textAlignment w:val="auto"/>
              <w:rPr>
                <w:rFonts w:hint="default" w:cs="Times New Roman"/>
                <w:color w:val="auto"/>
                <w:kern w:val="16"/>
                <w:szCs w:val="21"/>
                <w:lang w:val="en-US" w:eastAsia="zh-CN"/>
              </w:rPr>
            </w:pPr>
            <w:r>
              <w:rPr>
                <w:rFonts w:hint="eastAsia" w:cs="Times New Roman"/>
                <w:color w:val="auto"/>
                <w:kern w:val="16"/>
                <w:szCs w:val="21"/>
                <w:lang w:val="en-US" w:eastAsia="zh-CN"/>
              </w:rPr>
              <w:t>1、将客户原因退换货独立流程处理</w:t>
            </w:r>
          </w:p>
          <w:p w14:paraId="6EA465E4">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jc w:val="left"/>
              <w:textAlignment w:val="auto"/>
              <w:rPr>
                <w:rFonts w:hint="eastAsia" w:cs="Times New Roman"/>
                <w:color w:val="auto"/>
                <w:kern w:val="16"/>
                <w:szCs w:val="21"/>
                <w:lang w:val="en-US" w:eastAsia="zh-CN"/>
              </w:rPr>
            </w:pPr>
            <w:r>
              <w:rPr>
                <w:rFonts w:hint="eastAsia" w:cs="Times New Roman"/>
                <w:color w:val="auto"/>
                <w:kern w:val="16"/>
                <w:szCs w:val="21"/>
                <w:lang w:val="en-US" w:eastAsia="zh-CN"/>
              </w:rPr>
              <w:t>2、增加客诉处理的三级分类及对应的相应时限</w:t>
            </w:r>
          </w:p>
          <w:p w14:paraId="0BE916AC">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0" w:firstLineChars="0"/>
              <w:jc w:val="left"/>
              <w:textAlignment w:val="auto"/>
              <w:rPr>
                <w:rFonts w:hint="default" w:ascii="Times New Roman" w:hAnsi="Times New Roman" w:eastAsia="宋体" w:cs="Times New Roman"/>
                <w:color w:val="000000" w:themeColor="text1"/>
                <w:kern w:val="16"/>
                <w:szCs w:val="21"/>
                <w:lang w:val="en-US" w:eastAsia="zh-CN"/>
                <w14:textFill>
                  <w14:solidFill>
                    <w14:schemeClr w14:val="tx1"/>
                  </w14:solidFill>
                </w14:textFill>
              </w:rPr>
            </w:pPr>
            <w:r>
              <w:rPr>
                <w:rFonts w:hint="eastAsia" w:cs="Times New Roman"/>
                <w:color w:val="auto"/>
                <w:kern w:val="16"/>
                <w:szCs w:val="21"/>
                <w:lang w:val="en-US" w:eastAsia="zh-CN"/>
              </w:rPr>
              <w:t>3、</w:t>
            </w:r>
            <w:r>
              <w:rPr>
                <w:rFonts w:hint="eastAsia" w:cs="Times New Roman"/>
                <w:b w:val="0"/>
                <w:bCs w:val="0"/>
                <w:color w:val="auto"/>
                <w:kern w:val="16"/>
                <w:szCs w:val="21"/>
                <w:lang w:val="en-US" w:eastAsia="zh-CN"/>
              </w:rPr>
              <w:t>增加</w:t>
            </w:r>
            <w:r>
              <w:rPr>
                <w:rFonts w:hint="eastAsia" w:ascii="宋体" w:hAnsi="宋体" w:cs="宋体"/>
                <w:b w:val="0"/>
                <w:bCs w:val="0"/>
                <w:lang w:val="en-US" w:eastAsia="zh-CN"/>
              </w:rPr>
              <w:t>5.3技术问题移交研发处理流程</w:t>
            </w:r>
          </w:p>
        </w:tc>
      </w:tr>
      <w:tr w14:paraId="4586D6CA">
        <w:trPr>
          <w:trHeight w:val="435" w:hRule="atLeast"/>
        </w:trPr>
        <w:tc>
          <w:tcPr>
            <w:tcW w:w="720" w:type="dxa"/>
            <w:noWrap w:val="0"/>
            <w:vAlign w:val="top"/>
          </w:tcPr>
          <w:p w14:paraId="6A193E12">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4E37FF02">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47D44AA7">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271F3DA1">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lang w:val="en-US" w:eastAsia="zh-CN"/>
                <w14:textFill>
                  <w14:solidFill>
                    <w14:schemeClr w14:val="tx1"/>
                  </w14:solidFill>
                </w14:textFill>
              </w:rPr>
            </w:pPr>
          </w:p>
        </w:tc>
      </w:tr>
      <w:tr w14:paraId="4EBF5E75">
        <w:trPr>
          <w:trHeight w:val="435" w:hRule="atLeast"/>
        </w:trPr>
        <w:tc>
          <w:tcPr>
            <w:tcW w:w="720" w:type="dxa"/>
            <w:noWrap w:val="0"/>
            <w:vAlign w:val="top"/>
          </w:tcPr>
          <w:p w14:paraId="2EFA4729">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3C43AF9E">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6FE68721">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23F3A339">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lang w:val="en-US" w:eastAsia="zh-CN"/>
                <w14:textFill>
                  <w14:solidFill>
                    <w14:schemeClr w14:val="tx1"/>
                  </w14:solidFill>
                </w14:textFill>
              </w:rPr>
            </w:pPr>
          </w:p>
        </w:tc>
      </w:tr>
      <w:tr w14:paraId="6FE0BEB2">
        <w:trPr>
          <w:trHeight w:val="435" w:hRule="atLeast"/>
        </w:trPr>
        <w:tc>
          <w:tcPr>
            <w:tcW w:w="720" w:type="dxa"/>
            <w:noWrap w:val="0"/>
            <w:vAlign w:val="top"/>
          </w:tcPr>
          <w:p w14:paraId="021D8C7A">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r>
              <w:rPr>
                <w:color w:val="000000" w:themeColor="text1"/>
                <w:sz w:val="22"/>
                <w14:textFill>
                  <w14:solidFill>
                    <w14:schemeClr w14:val="tx1"/>
                  </w14:solidFill>
                </w14:textFill>
              </w:rPr>
              <w:pict>
                <v:line id="_x0000_s1026" o:spid="_x0000_s1026" o:spt="20" style="position:absolute;left:0pt;flip:y;margin-left:-4.4pt;margin-top:-45.8pt;height:426pt;width:520.05pt;z-index:251660288;mso-width-relative:page;mso-height-relative:page;" filled="f" stroked="t" coordsize="21600,21600" o:gfxdata="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aFh8&#10;39wAAAALAQAADwAAAAAAAAABACAAAAAiAAAAZHJzL2Rvd25yZXYueG1sUEsBAhQAFAAAAAgAh07i&#10;QPDb19flAQAArAMAAA4AAAAAAAAAAQAgAAAAKwEAAGRycy9lMm9Eb2MueG1sUEsFBgAAAAAGAAYA&#10;WQEAAIIFAAAAAA==&#10;">
                  <v:path arrowok="t"/>
                  <v:fill on="f" focussize="0,0"/>
                  <v:stroke weight="0.5pt" color="#000000" joinstyle="round"/>
                  <v:imagedata o:title=""/>
                  <o:lock v:ext="edit" aspectratio="f"/>
                </v:line>
              </w:pict>
            </w:r>
          </w:p>
        </w:tc>
        <w:tc>
          <w:tcPr>
            <w:tcW w:w="1101" w:type="dxa"/>
            <w:noWrap w:val="0"/>
            <w:vAlign w:val="top"/>
          </w:tcPr>
          <w:p w14:paraId="20411821">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0A41A108">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7FCF345F">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lang w:val="en-US" w:eastAsia="zh-CN"/>
                <w14:textFill>
                  <w14:solidFill>
                    <w14:schemeClr w14:val="tx1"/>
                  </w14:solidFill>
                </w14:textFill>
              </w:rPr>
            </w:pPr>
          </w:p>
        </w:tc>
      </w:tr>
      <w:tr w14:paraId="4896A0C6">
        <w:trPr>
          <w:trHeight w:val="450" w:hRule="atLeast"/>
        </w:trPr>
        <w:tc>
          <w:tcPr>
            <w:tcW w:w="720" w:type="dxa"/>
            <w:noWrap w:val="0"/>
            <w:vAlign w:val="top"/>
          </w:tcPr>
          <w:p w14:paraId="0A0597B7">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0BBD839F">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4C660239">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70247E07">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lang w:val="en-US" w:eastAsia="zh-CN"/>
                <w14:textFill>
                  <w14:solidFill>
                    <w14:schemeClr w14:val="tx1"/>
                  </w14:solidFill>
                </w14:textFill>
              </w:rPr>
            </w:pPr>
          </w:p>
        </w:tc>
      </w:tr>
      <w:tr w14:paraId="7E130474">
        <w:trPr>
          <w:trHeight w:val="435" w:hRule="atLeast"/>
        </w:trPr>
        <w:tc>
          <w:tcPr>
            <w:tcW w:w="720" w:type="dxa"/>
            <w:noWrap w:val="0"/>
            <w:vAlign w:val="top"/>
          </w:tcPr>
          <w:p w14:paraId="09F6A706">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2B1DFEDC">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150B0E50">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5D012162">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lang w:val="en-US" w:eastAsia="zh-CN"/>
                <w14:textFill>
                  <w14:solidFill>
                    <w14:schemeClr w14:val="tx1"/>
                  </w14:solidFill>
                </w14:textFill>
              </w:rPr>
            </w:pPr>
          </w:p>
        </w:tc>
      </w:tr>
      <w:tr w14:paraId="525EFC54">
        <w:trPr>
          <w:trHeight w:val="435" w:hRule="atLeast"/>
        </w:trPr>
        <w:tc>
          <w:tcPr>
            <w:tcW w:w="720" w:type="dxa"/>
            <w:noWrap w:val="0"/>
            <w:vAlign w:val="top"/>
          </w:tcPr>
          <w:p w14:paraId="3881340B">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23AB4F31">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5172C024">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45608538">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center"/>
              <w:textAlignment w:val="auto"/>
              <w:rPr>
                <w:rFonts w:hint="default" w:ascii="Times New Roman" w:hAnsi="Times New Roman" w:eastAsia="宋体" w:cs="Times New Roman"/>
                <w:color w:val="000000" w:themeColor="text1"/>
                <w:kern w:val="16"/>
                <w:szCs w:val="21"/>
                <w:lang w:val="en-US" w:eastAsia="zh-CN"/>
                <w14:textFill>
                  <w14:solidFill>
                    <w14:schemeClr w14:val="tx1"/>
                  </w14:solidFill>
                </w14:textFill>
              </w:rPr>
            </w:pPr>
          </w:p>
        </w:tc>
      </w:tr>
      <w:tr w14:paraId="616B62F3">
        <w:trPr>
          <w:trHeight w:val="435" w:hRule="atLeast"/>
        </w:trPr>
        <w:tc>
          <w:tcPr>
            <w:tcW w:w="720" w:type="dxa"/>
            <w:noWrap w:val="0"/>
            <w:vAlign w:val="top"/>
          </w:tcPr>
          <w:p w14:paraId="4A52C5A2">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55631AA4">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6B7983B9">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4AAC20BE">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301F1730">
        <w:trPr>
          <w:trHeight w:val="465" w:hRule="atLeast"/>
        </w:trPr>
        <w:tc>
          <w:tcPr>
            <w:tcW w:w="720" w:type="dxa"/>
            <w:noWrap w:val="0"/>
            <w:vAlign w:val="top"/>
          </w:tcPr>
          <w:p w14:paraId="60DBCB89">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795F5606">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16279144">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560D7516">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206C4C0D">
        <w:trPr>
          <w:trHeight w:val="465" w:hRule="atLeast"/>
        </w:trPr>
        <w:tc>
          <w:tcPr>
            <w:tcW w:w="720" w:type="dxa"/>
            <w:noWrap w:val="0"/>
            <w:vAlign w:val="top"/>
          </w:tcPr>
          <w:p w14:paraId="57DDC681">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20475AE3">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13CF6317">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1B78159A">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4F771607">
        <w:trPr>
          <w:trHeight w:val="465" w:hRule="atLeast"/>
        </w:trPr>
        <w:tc>
          <w:tcPr>
            <w:tcW w:w="720" w:type="dxa"/>
            <w:noWrap w:val="0"/>
            <w:vAlign w:val="top"/>
          </w:tcPr>
          <w:p w14:paraId="5E817C41">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6B0B34A3">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5707FB20">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2F7EF47F">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529AF76C">
        <w:trPr>
          <w:trHeight w:val="465" w:hRule="atLeast"/>
        </w:trPr>
        <w:tc>
          <w:tcPr>
            <w:tcW w:w="720" w:type="dxa"/>
            <w:noWrap w:val="0"/>
            <w:vAlign w:val="top"/>
          </w:tcPr>
          <w:p w14:paraId="137B8857">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2DCB36A0">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416ECE04">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08384237">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2316C596">
        <w:trPr>
          <w:trHeight w:val="465" w:hRule="atLeast"/>
        </w:trPr>
        <w:tc>
          <w:tcPr>
            <w:tcW w:w="720" w:type="dxa"/>
            <w:noWrap w:val="0"/>
            <w:vAlign w:val="top"/>
          </w:tcPr>
          <w:p w14:paraId="18F7078E">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67946F4E">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7FA617EC">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0DACC0A2">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529E2875">
        <w:trPr>
          <w:trHeight w:val="465" w:hRule="atLeast"/>
        </w:trPr>
        <w:tc>
          <w:tcPr>
            <w:tcW w:w="720" w:type="dxa"/>
            <w:noWrap w:val="0"/>
            <w:vAlign w:val="top"/>
          </w:tcPr>
          <w:p w14:paraId="6DD384A1">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2022A95D">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54A8F642">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5CB2EEF4">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591653F9">
        <w:trPr>
          <w:trHeight w:val="465" w:hRule="atLeast"/>
        </w:trPr>
        <w:tc>
          <w:tcPr>
            <w:tcW w:w="720" w:type="dxa"/>
            <w:noWrap w:val="0"/>
            <w:vAlign w:val="top"/>
          </w:tcPr>
          <w:p w14:paraId="7677B939">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019B2B93">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1D4A0D5F">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3725D78A">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150B2F7C">
        <w:trPr>
          <w:trHeight w:val="465" w:hRule="atLeast"/>
        </w:trPr>
        <w:tc>
          <w:tcPr>
            <w:tcW w:w="720" w:type="dxa"/>
            <w:noWrap w:val="0"/>
            <w:vAlign w:val="top"/>
          </w:tcPr>
          <w:p w14:paraId="3098D3C4">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6F92FC83">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128AC26F">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4EC6B16B">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5FA1A244">
        <w:trPr>
          <w:trHeight w:val="465" w:hRule="atLeast"/>
        </w:trPr>
        <w:tc>
          <w:tcPr>
            <w:tcW w:w="720" w:type="dxa"/>
            <w:noWrap w:val="0"/>
            <w:vAlign w:val="top"/>
          </w:tcPr>
          <w:p w14:paraId="5EB5DED1">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1C268D72">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0ACD42B5">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416BA81D">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41923827">
        <w:trPr>
          <w:trHeight w:val="465" w:hRule="atLeast"/>
        </w:trPr>
        <w:tc>
          <w:tcPr>
            <w:tcW w:w="720" w:type="dxa"/>
            <w:noWrap w:val="0"/>
            <w:vAlign w:val="top"/>
          </w:tcPr>
          <w:p w14:paraId="484C8129">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noWrap w:val="0"/>
            <w:vAlign w:val="top"/>
          </w:tcPr>
          <w:p w14:paraId="05A3F8FD">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noWrap w:val="0"/>
            <w:vAlign w:val="top"/>
          </w:tcPr>
          <w:p w14:paraId="0BF67996">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noWrap w:val="0"/>
            <w:vAlign w:val="top"/>
          </w:tcPr>
          <w:p w14:paraId="5C988E34">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42B33703">
        <w:trPr>
          <w:trHeight w:val="465" w:hRule="atLeast"/>
        </w:trPr>
        <w:tc>
          <w:tcPr>
            <w:tcW w:w="720" w:type="dxa"/>
            <w:tcBorders>
              <w:bottom w:val="double" w:color="auto" w:sz="4" w:space="0"/>
            </w:tcBorders>
            <w:noWrap w:val="0"/>
            <w:vAlign w:val="top"/>
          </w:tcPr>
          <w:p w14:paraId="16289F33">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101" w:type="dxa"/>
            <w:tcBorders>
              <w:bottom w:val="double" w:color="auto" w:sz="4" w:space="0"/>
            </w:tcBorders>
            <w:noWrap w:val="0"/>
            <w:vAlign w:val="top"/>
          </w:tcPr>
          <w:p w14:paraId="1AEC40CB">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1470" w:type="dxa"/>
            <w:tcBorders>
              <w:bottom w:val="double" w:color="auto" w:sz="4" w:space="0"/>
            </w:tcBorders>
            <w:noWrap w:val="0"/>
            <w:vAlign w:val="top"/>
          </w:tcPr>
          <w:p w14:paraId="4B1CC28A">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14:textFill>
                  <w14:solidFill>
                    <w14:schemeClr w14:val="tx1"/>
                  </w14:solidFill>
                </w14:textFill>
              </w:rPr>
            </w:pPr>
          </w:p>
        </w:tc>
        <w:tc>
          <w:tcPr>
            <w:tcW w:w="7149" w:type="dxa"/>
            <w:tcBorders>
              <w:bottom w:val="double" w:color="auto" w:sz="4" w:space="0"/>
            </w:tcBorders>
            <w:noWrap w:val="0"/>
            <w:vAlign w:val="top"/>
          </w:tcPr>
          <w:p w14:paraId="19FA4211">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default" w:ascii="Times New Roman" w:hAnsi="Times New Roman" w:eastAsia="宋体" w:cs="Times New Roman"/>
                <w:color w:val="000000" w:themeColor="text1"/>
                <w:kern w:val="16"/>
                <w:szCs w:val="21"/>
                <w14:textFill>
                  <w14:solidFill>
                    <w14:schemeClr w14:val="tx1"/>
                  </w14:solidFill>
                </w14:textFill>
              </w:rPr>
            </w:pPr>
          </w:p>
        </w:tc>
      </w:tr>
      <w:tr w14:paraId="5C02DAC9">
        <w:trPr>
          <w:trHeight w:val="465" w:hRule="atLeast"/>
        </w:trPr>
        <w:tc>
          <w:tcPr>
            <w:tcW w:w="1821" w:type="dxa"/>
            <w:gridSpan w:val="2"/>
            <w:tcBorders>
              <w:top w:val="double" w:color="auto" w:sz="4" w:space="0"/>
              <w:tl2br w:val="nil"/>
              <w:tr2bl w:val="nil"/>
            </w:tcBorders>
            <w:noWrap w:val="0"/>
            <w:vAlign w:val="top"/>
          </w:tcPr>
          <w:p w14:paraId="1DCE8B71">
            <w:pPr>
              <w:keepNext w:val="0"/>
              <w:keepLines w:val="0"/>
              <w:pageBreakBefore w:val="0"/>
              <w:widowControl w:val="0"/>
              <w:kinsoku/>
              <w:wordWrap/>
              <w:overflowPunct/>
              <w:topLinePunct w:val="0"/>
              <w:bidi w:val="0"/>
              <w:snapToGrid/>
              <w:spacing w:line="360" w:lineRule="auto"/>
              <w:ind w:left="0" w:leftChars="0"/>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eastAsia" w:cs="Times New Roman"/>
                <w:color w:val="000000" w:themeColor="text1"/>
                <w:lang w:val="en-US" w:eastAsia="zh-CN"/>
                <w14:textFill>
                  <w14:solidFill>
                    <w14:schemeClr w14:val="tx1"/>
                  </w14:solidFill>
                </w14:textFill>
              </w:rPr>
              <w:t>文件颁发部门：</w:t>
            </w:r>
          </w:p>
        </w:tc>
        <w:tc>
          <w:tcPr>
            <w:tcW w:w="8619" w:type="dxa"/>
            <w:gridSpan w:val="2"/>
            <w:tcBorders>
              <w:top w:val="double" w:color="auto" w:sz="4" w:space="0"/>
              <w:tl2br w:val="nil"/>
              <w:tr2bl w:val="nil"/>
            </w:tcBorders>
            <w:noWrap w:val="0"/>
            <w:vAlign w:val="top"/>
          </w:tcPr>
          <w:p w14:paraId="69FEB13A">
            <w:pPr>
              <w:keepNext w:val="0"/>
              <w:keepLines w:val="0"/>
              <w:pageBreakBefore w:val="0"/>
              <w:widowControl w:val="0"/>
              <w:kinsoku/>
              <w:wordWrap/>
              <w:overflowPunct/>
              <w:topLinePunct w:val="0"/>
              <w:autoSpaceDE w:val="0"/>
              <w:autoSpaceDN w:val="0"/>
              <w:bidi w:val="0"/>
              <w:adjustRightInd w:val="0"/>
              <w:snapToGrid/>
              <w:spacing w:line="360" w:lineRule="auto"/>
              <w:ind w:left="0" w:leftChars="0"/>
              <w:jc w:val="both"/>
              <w:textAlignment w:val="auto"/>
              <w:rPr>
                <w:rFonts w:hint="eastAsia" w:ascii="Times New Roman" w:hAnsi="Times New Roman" w:eastAsia="宋体" w:cs="Times New Roman"/>
                <w:color w:val="000000" w:themeColor="text1"/>
                <w:kern w:val="16"/>
                <w:szCs w:val="21"/>
                <w:lang w:val="en-US" w:eastAsia="zh-CN"/>
                <w14:textFill>
                  <w14:solidFill>
                    <w14:schemeClr w14:val="tx1"/>
                  </w14:solidFill>
                </w14:textFill>
              </w:rPr>
            </w:pPr>
            <w:r>
              <w:rPr>
                <w:rFonts w:hint="eastAsia" w:cs="Times New Roman"/>
                <w:color w:val="000000" w:themeColor="text1"/>
                <w:kern w:val="16"/>
                <w:szCs w:val="21"/>
                <w:lang w:val="en-US" w:eastAsia="zh-CN"/>
                <w14:textFill>
                  <w14:solidFill>
                    <w14:schemeClr w14:val="tx1"/>
                  </w14:solidFill>
                </w14:textFill>
              </w:rPr>
              <w:t>质量保证部</w:t>
            </w:r>
          </w:p>
        </w:tc>
      </w:tr>
      <w:tr w14:paraId="0E79D980">
        <w:trPr>
          <w:trHeight w:val="862" w:hRule="atLeast"/>
        </w:trPr>
        <w:tc>
          <w:tcPr>
            <w:tcW w:w="1821" w:type="dxa"/>
            <w:gridSpan w:val="2"/>
            <w:tcBorders>
              <w:tl2br w:val="nil"/>
              <w:tr2bl w:val="nil"/>
            </w:tcBorders>
            <w:noWrap w:val="0"/>
            <w:vAlign w:val="top"/>
          </w:tcPr>
          <w:p w14:paraId="08B80A8D">
            <w:pPr>
              <w:keepNext w:val="0"/>
              <w:keepLines w:val="0"/>
              <w:pageBreakBefore w:val="0"/>
              <w:widowControl w:val="0"/>
              <w:kinsoku/>
              <w:wordWrap/>
              <w:overflowPunct/>
              <w:topLinePunct w:val="0"/>
              <w:bidi w:val="0"/>
              <w:snapToGrid/>
              <w:spacing w:line="360" w:lineRule="auto"/>
              <w:ind w:left="0" w:leftChars="0"/>
              <w:jc w:val="both"/>
              <w:textAlignment w:val="auto"/>
              <w:rPr>
                <w:rFonts w:hint="default" w:ascii="Times New Roman" w:hAnsi="Times New Roman" w:eastAsia="宋体" w:cs="Times New Roman"/>
                <w:color w:val="000000" w:themeColor="text1"/>
                <w:sz w:val="52"/>
                <w:szCs w:val="52"/>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文件发放部门：</w:t>
            </w:r>
          </w:p>
        </w:tc>
        <w:tc>
          <w:tcPr>
            <w:tcW w:w="8619" w:type="dxa"/>
            <w:gridSpan w:val="2"/>
            <w:tcBorders>
              <w:tl2br w:val="nil"/>
              <w:tr2bl w:val="nil"/>
            </w:tcBorders>
            <w:noWrap w:val="0"/>
            <w:vAlign w:val="top"/>
          </w:tcPr>
          <w:p w14:paraId="2E798F50">
            <w:pPr>
              <w:keepNext w:val="0"/>
              <w:keepLines w:val="0"/>
              <w:pageBreakBefore w:val="0"/>
              <w:widowControl w:val="0"/>
              <w:kinsoku/>
              <w:wordWrap/>
              <w:overflowPunct/>
              <w:topLinePunct w:val="0"/>
              <w:bidi w:val="0"/>
              <w:snapToGrid/>
              <w:spacing w:line="360" w:lineRule="auto"/>
              <w:ind w:left="0" w:leftChars="0"/>
              <w:jc w:val="both"/>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PDF版全公司</w:t>
            </w:r>
          </w:p>
        </w:tc>
      </w:tr>
    </w:tbl>
    <w:p w14:paraId="311E8376">
      <w:pPr>
        <w:pStyle w:val="2"/>
        <w:bidi w:val="0"/>
        <w:rPr>
          <w:rFonts w:hint="eastAsia"/>
          <w:color w:val="000000" w:themeColor="text1"/>
          <w14:textFill>
            <w14:solidFill>
              <w14:schemeClr w14:val="tx1"/>
            </w14:solidFill>
          </w14:textFill>
        </w:rPr>
      </w:pPr>
      <w:bookmarkStart w:id="0" w:name="_Toc730"/>
      <w:r>
        <w:rPr>
          <w:rFonts w:hint="eastAsia"/>
          <w:color w:val="000000" w:themeColor="text1"/>
          <w14:textFill>
            <w14:solidFill>
              <w14:schemeClr w14:val="tx1"/>
            </w14:solidFill>
          </w14:textFill>
        </w:rPr>
        <w:br w:type="page"/>
      </w:r>
    </w:p>
    <w:bookmarkEnd w:id="0"/>
    <w:tbl>
      <w:tblPr>
        <w:tblStyle w:val="22"/>
        <w:tblW w:w="10573"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73"/>
      </w:tblGrid>
      <w:tr w14:paraId="6FC4767D">
        <w:trPr>
          <w:trHeight w:val="13602" w:hRule="atLeast"/>
        </w:trPr>
        <w:tc>
          <w:tcPr>
            <w:tcW w:w="10573" w:type="dxa"/>
            <w:tcBorders>
              <w:top w:val="double" w:color="auto" w:sz="4" w:space="0"/>
              <w:left w:val="double" w:color="auto" w:sz="4" w:space="0"/>
              <w:bottom w:val="double" w:color="auto" w:sz="4" w:space="0"/>
              <w:right w:val="double" w:color="auto" w:sz="4" w:space="0"/>
            </w:tcBorders>
            <w:noWrap w:val="0"/>
            <w:vAlign w:val="top"/>
          </w:tcPr>
          <w:p w14:paraId="480A2F06">
            <w:pPr>
              <w:pStyle w:val="2"/>
              <w:bidi w:val="0"/>
              <w:rPr>
                <w:rFonts w:hint="default"/>
                <w:color w:val="000000" w:themeColor="text1"/>
                <w14:textFill>
                  <w14:solidFill>
                    <w14:schemeClr w14:val="tx1"/>
                  </w14:solidFill>
                </w14:textFill>
              </w:rPr>
            </w:pPr>
            <w:bookmarkStart w:id="1" w:name="_Toc491164485"/>
            <w:bookmarkStart w:id="2" w:name="_Toc15947"/>
            <w:bookmarkStart w:id="3" w:name="_Toc491162853"/>
            <w:r>
              <w:rPr>
                <w:rFonts w:hint="default"/>
                <w:color w:val="000000" w:themeColor="text1"/>
                <w14:textFill>
                  <w14:solidFill>
                    <w14:schemeClr w14:val="tx1"/>
                  </w14:solidFill>
                </w14:textFill>
              </w:rPr>
              <w:t>目的：</w:t>
            </w:r>
          </w:p>
          <w:p w14:paraId="5A64BE98">
            <w:pPr>
              <w:numPr>
                <w:ilvl w:val="-1"/>
                <w:numId w:val="0"/>
              </w:numPr>
              <w:ind w:left="0" w:leftChars="0" w:firstLine="440" w:firstLineChars="200"/>
              <w:rPr>
                <w:rFonts w:hint="default"/>
              </w:rPr>
            </w:pPr>
            <w:r>
              <w:rPr>
                <w:rFonts w:hint="eastAsia" w:ascii="宋体" w:hAnsi="宋体" w:eastAsia="宋体" w:cs="宋体"/>
                <w:color w:val="auto"/>
                <w:kern w:val="2"/>
                <w:sz w:val="22"/>
                <w:szCs w:val="22"/>
                <w:lang w:val="en-US" w:eastAsia="zh-CN" w:bidi="ar"/>
              </w:rPr>
              <w:t>建立标准化、可落地的客户投诉应对机制，明确各部门客诉处理职责、操作流程、分级管控要求；高效、稳妥处置各类客户反馈，减少投诉带来的经营与品牌负面影响，持续提升公司产品质量与客户服务水平</w:t>
            </w:r>
            <w:r>
              <w:rPr>
                <w:rFonts w:hint="eastAsia" w:ascii="宋体" w:hAnsi="宋体" w:cs="宋体"/>
                <w:color w:val="auto"/>
                <w:kern w:val="2"/>
                <w:sz w:val="22"/>
                <w:szCs w:val="22"/>
                <w:lang w:val="en-US" w:eastAsia="zh-CN" w:bidi="ar"/>
              </w:rPr>
              <w:t>。</w:t>
            </w:r>
          </w:p>
          <w:p w14:paraId="6A450A00">
            <w:pPr>
              <w:pStyle w:val="2"/>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范围：</w:t>
            </w:r>
          </w:p>
          <w:p w14:paraId="1518EEDE">
            <w:pPr>
              <w:numPr>
                <w:ilvl w:val="-1"/>
                <w:numId w:val="0"/>
              </w:numPr>
              <w:ind w:left="0" w:leftChars="0" w:firstLine="440" w:firstLineChars="200"/>
              <w:rPr>
                <w:rFonts w:hint="default"/>
              </w:rPr>
            </w:pPr>
            <w:r>
              <w:rPr>
                <w:rFonts w:hint="eastAsia" w:ascii="宋体" w:hAnsi="宋体" w:eastAsia="宋体" w:cs="宋体"/>
                <w:color w:val="auto"/>
                <w:kern w:val="2"/>
                <w:sz w:val="22"/>
                <w:szCs w:val="22"/>
                <w:lang w:val="en-US" w:eastAsia="zh-CN" w:bidi="ar"/>
              </w:rPr>
              <w:t>本制度适用于珠海宝锐生物科技有限公司及下属全部子公司所有客户投诉、客户反馈业务；规范全体员工客诉接收、内部调查、整改、客户沟通、结案归档全流程操作。</w:t>
            </w:r>
          </w:p>
          <w:p w14:paraId="66F79327">
            <w:pPr>
              <w:pStyle w:val="2"/>
              <w:bidi w:val="0"/>
              <w:rPr>
                <w:rFonts w:hint="default"/>
              </w:rPr>
            </w:pPr>
            <w:r>
              <w:rPr>
                <w:rFonts w:hint="default"/>
                <w:color w:val="000000" w:themeColor="text1"/>
                <w14:textFill>
                  <w14:solidFill>
                    <w14:schemeClr w14:val="tx1"/>
                  </w14:solidFill>
                </w14:textFill>
              </w:rPr>
              <w:t>职责：</w:t>
            </w:r>
          </w:p>
          <w:p w14:paraId="5EF517F7">
            <w:pPr>
              <w:pStyle w:val="3"/>
              <w:bidi w:val="0"/>
              <w:rPr>
                <w:rFonts w:hint="eastAsia" w:ascii="宋体" w:hAnsi="宋体" w:cs="宋体"/>
                <w:b w:val="0"/>
                <w:bCs w:val="0"/>
                <w:color w:val="0000FF"/>
                <w:sz w:val="22"/>
                <w:szCs w:val="22"/>
                <w:lang w:val="en-US" w:eastAsia="zh-CN"/>
              </w:rPr>
            </w:pPr>
            <w:r>
              <w:rPr>
                <w:rStyle w:val="34"/>
                <w:rFonts w:hint="eastAsia" w:ascii="宋体" w:hAnsi="宋体" w:cs="宋体"/>
                <w:b/>
                <w:bCs/>
                <w:color w:val="auto"/>
                <w:szCs w:val="22"/>
                <w:lang w:val="en-US" w:eastAsia="zh-CN"/>
              </w:rPr>
              <w:t>销售部</w:t>
            </w:r>
            <w:r>
              <w:rPr>
                <w:rFonts w:hint="eastAsia" w:ascii="宋体" w:hAnsi="宋体" w:cs="宋体"/>
                <w:b/>
                <w:bCs/>
                <w:color w:val="0000FF"/>
                <w:sz w:val="22"/>
                <w:szCs w:val="22"/>
                <w:lang w:val="en-US" w:eastAsia="zh-CN"/>
              </w:rPr>
              <w:t>（客诉对外第一对接人、第一对外责任人）</w:t>
            </w:r>
          </w:p>
          <w:p w14:paraId="6B17CB5D">
            <w:pPr>
              <w:pStyle w:val="3"/>
              <w:numPr>
                <w:ilvl w:val="0"/>
                <w:numId w:val="5"/>
              </w:numPr>
              <w:ind w:left="425" w:leftChars="0" w:hanging="425" w:firstLineChars="0"/>
              <w:rPr>
                <w:rFonts w:hint="default"/>
                <w:lang w:val="en-US" w:eastAsia="zh-CN" w:bidi="ar"/>
              </w:rPr>
            </w:pPr>
            <w:commentRangeStart w:id="0"/>
            <w:r>
              <w:rPr>
                <w:rFonts w:hint="default"/>
                <w:lang w:val="en-US" w:eastAsia="zh-CN" w:bidi="ar"/>
              </w:rPr>
              <w:t>前端第一时间接</w:t>
            </w:r>
            <w:commentRangeEnd w:id="0"/>
            <w:r>
              <w:commentReference w:id="0"/>
            </w:r>
            <w:r>
              <w:rPr>
                <w:rFonts w:hint="default"/>
                <w:lang w:val="en-US" w:eastAsia="zh-CN" w:bidi="ar"/>
              </w:rPr>
              <w:t>收客户各类反馈，优先安抚客户情绪，完整收集客户、订单、产品批次、货物数量、客户损失、客户诉求、客户检测报告等全部基础信息；</w:t>
            </w:r>
          </w:p>
          <w:p w14:paraId="1BE27A6D">
            <w:pPr>
              <w:pStyle w:val="3"/>
              <w:numPr>
                <w:ilvl w:val="0"/>
                <w:numId w:val="5"/>
              </w:numPr>
              <w:ind w:left="425" w:leftChars="0" w:hanging="425" w:firstLineChars="0"/>
              <w:rPr>
                <w:rFonts w:hint="default"/>
                <w:lang w:val="en-US" w:eastAsia="zh-CN" w:bidi="ar"/>
              </w:rPr>
            </w:pPr>
            <w:commentRangeStart w:id="1"/>
            <w:r>
              <w:rPr>
                <w:rFonts w:hint="default"/>
                <w:lang w:val="en-US" w:eastAsia="zh-CN" w:bidi="ar"/>
              </w:rPr>
              <w:t>通过飞书发起《客户反馈单》，准确区分质量类/非质量类投诉，同步建立钉钉专项客诉沟通群</w:t>
            </w:r>
            <w:commentRangeEnd w:id="1"/>
            <w:r>
              <w:commentReference w:id="1"/>
            </w:r>
            <w:r>
              <w:rPr>
                <w:rFonts w:hint="default"/>
                <w:lang w:val="en-US" w:eastAsia="zh-CN" w:bidi="ar"/>
              </w:rPr>
              <w:t>，拉通全部相关责任部门；</w:t>
            </w:r>
          </w:p>
          <w:p w14:paraId="6780416B">
            <w:pPr>
              <w:pStyle w:val="3"/>
              <w:numPr>
                <w:ilvl w:val="0"/>
                <w:numId w:val="5"/>
              </w:numPr>
              <w:ind w:left="425" w:leftChars="0" w:hanging="425" w:firstLineChars="0"/>
              <w:rPr>
                <w:rFonts w:hint="default"/>
                <w:lang w:val="en-US" w:eastAsia="zh-CN" w:bidi="ar"/>
              </w:rPr>
            </w:pPr>
            <w:r>
              <w:rPr>
                <w:rFonts w:hint="default"/>
                <w:lang w:val="en-US" w:eastAsia="zh-CN" w:bidi="ar"/>
              </w:rPr>
              <w:t>全程主导客户对接、退换货洽谈、整改方案同步、临时方案沟通，</w:t>
            </w:r>
            <w:commentRangeStart w:id="2"/>
            <w:r>
              <w:rPr>
                <w:rFonts w:hint="default"/>
                <w:lang w:val="en-US" w:eastAsia="zh-CN" w:bidi="ar"/>
              </w:rPr>
              <w:t>直至客户书面 / 线上确认</w:t>
            </w:r>
            <w:commentRangeEnd w:id="2"/>
            <w:r>
              <w:commentReference w:id="2"/>
            </w:r>
            <w:r>
              <w:rPr>
                <w:rFonts w:hint="default"/>
                <w:lang w:val="en-US" w:eastAsia="zh-CN" w:bidi="ar"/>
              </w:rPr>
              <w:t>无异议（外部闭环）；</w:t>
            </w:r>
          </w:p>
          <w:p w14:paraId="52BF5F89">
            <w:pPr>
              <w:pStyle w:val="3"/>
              <w:numPr>
                <w:ilvl w:val="0"/>
                <w:numId w:val="5"/>
              </w:numPr>
              <w:ind w:left="425" w:leftChars="0" w:hanging="425" w:firstLineChars="0"/>
              <w:rPr>
                <w:rFonts w:hint="eastAsia" w:ascii="宋体" w:hAnsi="宋体" w:cs="宋体"/>
                <w:color w:val="auto"/>
                <w:szCs w:val="22"/>
                <w:lang w:val="en-US" w:eastAsia="zh-CN" w:bidi="ar"/>
              </w:rPr>
            </w:pPr>
            <w:r>
              <w:rPr>
                <w:rFonts w:hint="default"/>
                <w:lang w:val="en-US" w:eastAsia="zh-CN" w:bidi="ar"/>
              </w:rPr>
              <w:t>客户原因退换货单独走专属退换货审批流程，同步维护客情关系，严格把控公司成本与经营利益</w:t>
            </w:r>
            <w:r>
              <w:rPr>
                <w:rFonts w:hint="eastAsia" w:ascii="宋体" w:hAnsi="宋体" w:cs="宋体"/>
                <w:color w:val="auto"/>
                <w:szCs w:val="22"/>
                <w:lang w:val="en-US" w:eastAsia="zh-CN" w:bidi="ar"/>
              </w:rPr>
              <w:t>。</w:t>
            </w:r>
          </w:p>
          <w:p w14:paraId="27DCD3E3">
            <w:pPr>
              <w:pStyle w:val="3"/>
              <w:bidi w:val="0"/>
              <w:rPr>
                <w:rFonts w:hint="eastAsia" w:ascii="宋体" w:hAnsi="宋体" w:cs="宋体"/>
                <w:b/>
                <w:bCs/>
                <w:color w:val="0000FF"/>
                <w:sz w:val="22"/>
                <w:szCs w:val="22"/>
                <w:lang w:val="en-US" w:eastAsia="zh-CN"/>
              </w:rPr>
            </w:pPr>
            <w:r>
              <w:rPr>
                <w:rFonts w:hint="eastAsia" w:ascii="宋体" w:hAnsi="宋体" w:cs="宋体"/>
                <w:b/>
                <w:bCs/>
                <w:color w:val="auto"/>
                <w:sz w:val="22"/>
                <w:szCs w:val="22"/>
                <w:lang w:val="en-US" w:eastAsia="zh-CN"/>
              </w:rPr>
              <w:t>生产部/研发部（备货部门，客诉</w:t>
            </w:r>
            <w:r>
              <w:rPr>
                <w:rFonts w:hint="eastAsia" w:ascii="宋体" w:hAnsi="宋体" w:cs="宋体"/>
                <w:b/>
                <w:bCs/>
                <w:color w:val="0000FF"/>
                <w:sz w:val="22"/>
                <w:szCs w:val="22"/>
                <w:lang w:val="en-US" w:eastAsia="zh-CN"/>
              </w:rPr>
              <w:t>内部调查第一责任人）</w:t>
            </w:r>
          </w:p>
          <w:p w14:paraId="1C1EFE8A">
            <w:pPr>
              <w:pStyle w:val="3"/>
              <w:numPr>
                <w:ilvl w:val="0"/>
                <w:numId w:val="6"/>
              </w:numPr>
              <w:ind w:left="425" w:leftChars="0" w:hanging="425" w:firstLineChars="0"/>
              <w:rPr>
                <w:rFonts w:hint="eastAsia"/>
                <w:lang w:val="en-US" w:eastAsia="zh-CN" w:bidi="ar"/>
              </w:rPr>
            </w:pPr>
            <w:r>
              <w:rPr>
                <w:rFonts w:hint="eastAsia"/>
                <w:lang w:val="en-US" w:eastAsia="zh-CN" w:bidi="ar"/>
              </w:rPr>
              <w:t>收到钉钉群客诉通知后，按时限输出《自查报告》；涉及产品性能异常的，同步编制《售后实验方案》；</w:t>
            </w:r>
          </w:p>
          <w:p w14:paraId="5A6D9EA8">
            <w:pPr>
              <w:pStyle w:val="3"/>
              <w:numPr>
                <w:ilvl w:val="0"/>
                <w:numId w:val="6"/>
              </w:numPr>
              <w:ind w:left="425" w:leftChars="0" w:hanging="425" w:firstLineChars="0"/>
              <w:rPr>
                <w:rFonts w:hint="eastAsia"/>
                <w:lang w:val="en-US" w:eastAsia="zh-CN" w:bidi="ar"/>
              </w:rPr>
            </w:pPr>
            <w:r>
              <w:rPr>
                <w:rFonts w:hint="eastAsia"/>
                <w:lang w:val="en-US" w:eastAsia="zh-CN" w:bidi="ar"/>
              </w:rPr>
              <w:t>严格按照分级时限完成验证实验，出具脱敏版《售后实验报告》，对全部实验数据真实性、结论客观性承担责任；</w:t>
            </w:r>
          </w:p>
          <w:p w14:paraId="72C62D6A">
            <w:pPr>
              <w:pStyle w:val="3"/>
              <w:numPr>
                <w:ilvl w:val="0"/>
                <w:numId w:val="6"/>
              </w:numPr>
              <w:ind w:left="425" w:leftChars="0" w:hanging="425" w:firstLineChars="0"/>
              <w:rPr>
                <w:rFonts w:hint="eastAsia"/>
                <w:lang w:val="en-US" w:eastAsia="zh-CN" w:bidi="ar"/>
              </w:rPr>
            </w:pPr>
            <w:r>
              <w:rPr>
                <w:rFonts w:hint="eastAsia"/>
                <w:lang w:val="en-US" w:eastAsia="zh-CN" w:bidi="ar"/>
              </w:rPr>
              <w:t>经判定为本部门责任时，同步制定纠正措施、纠正预防措施（CAPA）并落地执行；</w:t>
            </w:r>
          </w:p>
          <w:p w14:paraId="0BA120C9">
            <w:pPr>
              <w:pStyle w:val="3"/>
              <w:numPr>
                <w:ilvl w:val="0"/>
                <w:numId w:val="6"/>
              </w:numPr>
              <w:ind w:left="425" w:leftChars="0" w:hanging="425" w:firstLineChars="0"/>
              <w:rPr>
                <w:rFonts w:hint="eastAsia"/>
                <w:lang w:val="en-US" w:eastAsia="zh-CN" w:bidi="ar"/>
              </w:rPr>
            </w:pPr>
            <w:r>
              <w:rPr>
                <w:rFonts w:hint="eastAsia"/>
                <w:lang w:val="en-US" w:eastAsia="zh-CN" w:bidi="ar"/>
              </w:rPr>
              <w:t>技术改善类、研发设计缺陷类投诉，由研发部主导输出产品长期优化、迭代升级方案。</w:t>
            </w:r>
          </w:p>
          <w:p w14:paraId="1D6021F6">
            <w:pPr>
              <w:pStyle w:val="3"/>
              <w:bidi w:val="0"/>
              <w:rPr>
                <w:rFonts w:hint="eastAsia" w:ascii="宋体" w:hAnsi="宋体" w:cs="宋体"/>
                <w:b/>
                <w:bCs/>
                <w:color w:val="0000FF"/>
                <w:sz w:val="22"/>
                <w:szCs w:val="22"/>
                <w:lang w:val="en-US" w:eastAsia="zh-CN"/>
              </w:rPr>
            </w:pPr>
            <w:r>
              <w:rPr>
                <w:rFonts w:hint="eastAsia"/>
                <w:b/>
                <w:bCs w:val="0"/>
                <w:lang w:val="en-US" w:eastAsia="zh-CN"/>
              </w:rPr>
              <w:t>质量保证部（QA</w:t>
            </w:r>
            <w:r>
              <w:rPr>
                <w:rFonts w:hint="eastAsia"/>
                <w:lang w:val="en-US" w:eastAsia="zh-CN"/>
              </w:rPr>
              <w:t>，</w:t>
            </w:r>
            <w:r>
              <w:rPr>
                <w:rFonts w:hint="eastAsia" w:ascii="宋体" w:hAnsi="宋体" w:cs="宋体"/>
                <w:b/>
                <w:bCs/>
                <w:color w:val="0000FF"/>
                <w:sz w:val="22"/>
                <w:szCs w:val="22"/>
                <w:lang w:val="en-US" w:eastAsia="zh-CN"/>
              </w:rPr>
              <w:t>客诉内部总主导/管控部门</w:t>
            </w:r>
            <w:r>
              <w:rPr>
                <w:rFonts w:hint="eastAsia"/>
                <w:lang w:val="en-US" w:eastAsia="zh-CN"/>
              </w:rPr>
              <w:t>）</w:t>
            </w:r>
          </w:p>
          <w:p w14:paraId="1DEB05DB">
            <w:pPr>
              <w:pStyle w:val="3"/>
              <w:numPr>
                <w:ilvl w:val="0"/>
                <w:numId w:val="7"/>
              </w:numPr>
              <w:ind w:left="425" w:leftChars="0" w:hanging="425" w:firstLineChars="0"/>
              <w:rPr>
                <w:rFonts w:hint="eastAsia"/>
                <w:lang w:val="en-US" w:eastAsia="zh-CN" w:bidi="ar"/>
              </w:rPr>
            </w:pPr>
            <w:r>
              <w:rPr>
                <w:rFonts w:hint="eastAsia"/>
                <w:lang w:val="en-US" w:eastAsia="zh-CN" w:bidi="ar"/>
              </w:rPr>
              <w:t>统筹客诉全流程进度管控，审核售后实验方案、售后实验报告，判定客诉责任归属、确认客诉分级；</w:t>
            </w:r>
          </w:p>
          <w:p w14:paraId="748C9FC3">
            <w:pPr>
              <w:pStyle w:val="3"/>
              <w:numPr>
                <w:ilvl w:val="0"/>
                <w:numId w:val="7"/>
              </w:numPr>
              <w:ind w:left="425" w:leftChars="0" w:hanging="425" w:firstLineChars="0"/>
              <w:rPr>
                <w:rFonts w:hint="eastAsia"/>
                <w:lang w:val="en-US" w:eastAsia="zh-CN" w:bidi="ar"/>
              </w:rPr>
            </w:pPr>
            <w:r>
              <w:rPr>
                <w:rFonts w:hint="eastAsia"/>
                <w:lang w:val="en-US" w:eastAsia="zh-CN" w:bidi="ar"/>
              </w:rPr>
              <w:t>建立并动态更新《客户投诉台账》，每月初汇总全公司投诉数据，组织月度客诉复盘会议；</w:t>
            </w:r>
          </w:p>
          <w:p w14:paraId="6471381D">
            <w:pPr>
              <w:pStyle w:val="3"/>
              <w:numPr>
                <w:ilvl w:val="0"/>
                <w:numId w:val="7"/>
              </w:numPr>
              <w:ind w:left="425" w:leftChars="0" w:hanging="425" w:firstLineChars="0"/>
              <w:rPr>
                <w:rFonts w:hint="eastAsia"/>
                <w:lang w:val="en-US" w:eastAsia="zh-CN" w:bidi="ar"/>
              </w:rPr>
            </w:pPr>
            <w:r>
              <w:rPr>
                <w:rFonts w:hint="eastAsia"/>
                <w:lang w:val="en-US" w:eastAsia="zh-CN" w:bidi="ar"/>
              </w:rPr>
              <w:t>收到一级重大客诉时第一时间上报管理者代表、总经理，牵头组建专项应急处置小组；</w:t>
            </w:r>
          </w:p>
          <w:p w14:paraId="6C279CA4">
            <w:pPr>
              <w:pStyle w:val="3"/>
              <w:numPr>
                <w:ilvl w:val="0"/>
                <w:numId w:val="7"/>
              </w:numPr>
              <w:ind w:left="425" w:leftChars="0" w:hanging="425" w:firstLineChars="0"/>
              <w:rPr>
                <w:rFonts w:hint="eastAsia"/>
                <w:lang w:val="en-US" w:eastAsia="zh-CN" w:bidi="ar"/>
              </w:rPr>
            </w:pPr>
            <w:r>
              <w:rPr>
                <w:rFonts w:hint="eastAsia"/>
                <w:lang w:val="en-US" w:eastAsia="zh-CN" w:bidi="ar"/>
              </w:rPr>
              <w:t>统一管理全部客诉档案，管控台账、档案查阅权限，全程跟进内部整改措施直至闭环；</w:t>
            </w:r>
          </w:p>
          <w:p w14:paraId="44DE25B2">
            <w:pPr>
              <w:pStyle w:val="3"/>
              <w:numPr>
                <w:ilvl w:val="0"/>
                <w:numId w:val="7"/>
              </w:numPr>
              <w:ind w:left="425" w:leftChars="0" w:hanging="425" w:firstLineChars="0"/>
              <w:rPr>
                <w:rFonts w:hint="default"/>
                <w:lang w:val="en-US" w:eastAsia="zh-CN" w:bidi="ar"/>
              </w:rPr>
            </w:pPr>
            <w:r>
              <w:rPr>
                <w:rFonts w:hint="eastAsia"/>
                <w:lang w:val="en-US" w:eastAsia="zh-CN" w:bidi="ar"/>
              </w:rPr>
              <w:t>作为技术问题移交研发的最终判定责任人，组织跨部门评审，确认移交条件是否满足。</w:t>
            </w:r>
          </w:p>
          <w:p w14:paraId="5A5907B2">
            <w:pPr>
              <w:pStyle w:val="3"/>
              <w:bidi w:val="0"/>
              <w:rPr>
                <w:rFonts w:hint="eastAsia" w:ascii="宋体" w:hAnsi="宋体" w:cs="宋体"/>
                <w:b/>
                <w:bCs/>
                <w:color w:val="0000FF"/>
                <w:sz w:val="22"/>
                <w:szCs w:val="22"/>
                <w:lang w:val="en-US" w:eastAsia="zh-CN"/>
              </w:rPr>
            </w:pPr>
            <w:r>
              <w:rPr>
                <w:rFonts w:hint="eastAsia"/>
                <w:b/>
                <w:bCs w:val="0"/>
                <w:lang w:val="en-US" w:eastAsia="zh-CN"/>
              </w:rPr>
              <w:t>技术支持部</w:t>
            </w:r>
            <w:r>
              <w:rPr>
                <w:rFonts w:hint="eastAsia" w:ascii="宋体" w:hAnsi="宋体" w:cs="宋体"/>
                <w:b/>
                <w:bCs/>
                <w:color w:val="0000FF"/>
                <w:sz w:val="22"/>
                <w:szCs w:val="22"/>
                <w:lang w:val="en-US" w:eastAsia="zh-CN"/>
              </w:rPr>
              <w:t>（</w:t>
            </w:r>
            <w:r>
              <w:rPr>
                <w:rFonts w:ascii="宋体" w:hAnsi="宋体" w:eastAsia="宋体" w:cs="宋体"/>
                <w:color w:val="0000FF"/>
                <w:sz w:val="24"/>
                <w:szCs w:val="24"/>
              </w:rPr>
              <w:t>性能类客诉内外部信息对接主体</w:t>
            </w:r>
            <w:r>
              <w:rPr>
                <w:rFonts w:hint="eastAsia" w:ascii="宋体" w:hAnsi="宋体" w:cs="宋体"/>
                <w:b/>
                <w:bCs/>
                <w:color w:val="0000FF"/>
                <w:sz w:val="22"/>
                <w:szCs w:val="22"/>
                <w:lang w:val="en-US" w:eastAsia="zh-CN"/>
              </w:rPr>
              <w:t>）</w:t>
            </w:r>
          </w:p>
          <w:p w14:paraId="5AE2FDA9">
            <w:pPr>
              <w:pStyle w:val="3"/>
              <w:numPr>
                <w:ilvl w:val="0"/>
                <w:numId w:val="8"/>
              </w:numPr>
              <w:ind w:left="425" w:leftChars="0" w:hanging="425" w:firstLineChars="0"/>
              <w:rPr>
                <w:rFonts w:hint="eastAsia"/>
                <w:lang w:val="en-US" w:eastAsia="zh-CN" w:bidi="ar"/>
              </w:rPr>
            </w:pPr>
            <w:r>
              <w:rPr>
                <w:rFonts w:hint="eastAsia"/>
                <w:lang w:val="en-US" w:eastAsia="zh-CN" w:bidi="ar"/>
              </w:rPr>
              <w:t>负责所有性能类投诉内外部技术对接；</w:t>
            </w:r>
          </w:p>
          <w:p w14:paraId="4231484D">
            <w:pPr>
              <w:pStyle w:val="3"/>
              <w:numPr>
                <w:ilvl w:val="0"/>
                <w:numId w:val="8"/>
              </w:numPr>
              <w:ind w:left="425" w:leftChars="0" w:hanging="425" w:firstLineChars="0"/>
              <w:rPr>
                <w:rFonts w:hint="eastAsia"/>
                <w:lang w:val="en-US" w:eastAsia="zh-CN" w:bidi="ar"/>
              </w:rPr>
            </w:pPr>
            <w:r>
              <w:rPr>
                <w:rFonts w:hint="eastAsia"/>
                <w:lang w:val="en-US" w:eastAsia="zh-CN" w:bidi="ar"/>
              </w:rPr>
              <w:t>收集客户实验细节、检测条件，参与审核售后实验方案与实验报告；</w:t>
            </w:r>
          </w:p>
          <w:p w14:paraId="3A0467BA">
            <w:pPr>
              <w:pStyle w:val="3"/>
              <w:numPr>
                <w:ilvl w:val="0"/>
                <w:numId w:val="8"/>
              </w:numPr>
              <w:ind w:left="425" w:leftChars="0" w:hanging="425" w:firstLineChars="0"/>
              <w:rPr>
                <w:rFonts w:hint="eastAsia"/>
                <w:lang w:val="en-US" w:eastAsia="zh-CN" w:bidi="ar"/>
              </w:rPr>
            </w:pPr>
            <w:r>
              <w:rPr>
                <w:rFonts w:hint="eastAsia"/>
                <w:lang w:val="en-US" w:eastAsia="zh-CN" w:bidi="ar"/>
              </w:rPr>
              <w:t>对对外交付的实验报告统一脱敏修订，规范对外沟通口径，同步内部验证结果，跟进客户技术异议沟通；</w:t>
            </w:r>
          </w:p>
          <w:p w14:paraId="1246B7EB">
            <w:pPr>
              <w:pStyle w:val="3"/>
              <w:numPr>
                <w:ilvl w:val="0"/>
                <w:numId w:val="8"/>
              </w:numPr>
              <w:ind w:left="425" w:leftChars="0" w:hanging="425" w:firstLineChars="0"/>
              <w:rPr>
                <w:rFonts w:hint="eastAsia"/>
                <w:lang w:val="en-US" w:eastAsia="zh-CN" w:bidi="ar"/>
              </w:rPr>
            </w:pPr>
            <w:r>
              <w:rPr>
                <w:rFonts w:hint="eastAsia"/>
                <w:lang w:val="en-US" w:eastAsia="zh-CN" w:bidi="ar"/>
              </w:rPr>
              <w:t>单独建立技术改善类反馈跟踪台账，持续跟进研发优化进度并同步客户。</w:t>
            </w:r>
          </w:p>
          <w:p w14:paraId="7FCD6E66">
            <w:pPr>
              <w:pStyle w:val="3"/>
              <w:bidi w:val="0"/>
              <w:rPr>
                <w:b/>
                <w:bCs w:val="0"/>
              </w:rPr>
            </w:pPr>
            <w:r>
              <w:rPr>
                <w:rFonts w:hint="eastAsia"/>
                <w:b/>
                <w:bCs w:val="0"/>
                <w:lang w:val="en-US" w:eastAsia="zh-CN"/>
              </w:rPr>
              <w:t>质检部（QC）</w:t>
            </w:r>
          </w:p>
          <w:p w14:paraId="36A69707">
            <w:pPr>
              <w:pStyle w:val="3"/>
              <w:numPr>
                <w:ilvl w:val="0"/>
                <w:numId w:val="9"/>
              </w:numPr>
              <w:ind w:left="425" w:leftChars="0" w:hanging="425" w:firstLineChars="0"/>
              <w:rPr>
                <w:rFonts w:hint="eastAsia"/>
                <w:lang w:val="en-US" w:eastAsia="zh-CN" w:bidi="ar"/>
              </w:rPr>
            </w:pPr>
            <w:r>
              <w:rPr>
                <w:rFonts w:hint="eastAsia"/>
                <w:lang w:val="en-US" w:eastAsia="zh-CN" w:bidi="ar"/>
              </w:rPr>
              <w:t>核查涉诉产品出厂检验原始记录，按照审批后的实验方案开展样品复测、初步实验分析；</w:t>
            </w:r>
          </w:p>
          <w:p w14:paraId="54BB205E">
            <w:pPr>
              <w:pStyle w:val="3"/>
              <w:numPr>
                <w:ilvl w:val="0"/>
                <w:numId w:val="9"/>
              </w:numPr>
              <w:ind w:left="425" w:leftChars="0" w:hanging="425" w:firstLineChars="0"/>
              <w:rPr>
                <w:rFonts w:hint="eastAsia"/>
                <w:lang w:val="en-US" w:eastAsia="zh-CN" w:bidi="ar"/>
              </w:rPr>
            </w:pPr>
            <w:r>
              <w:rPr>
                <w:rFonts w:hint="eastAsia"/>
                <w:lang w:val="en-US" w:eastAsia="zh-CN" w:bidi="ar"/>
              </w:rPr>
              <w:t>在 ERP 系统录入退货样品检验结果，出具退货判定结论（合格/不合格），同步反馈仓储物流部与QA。</w:t>
            </w:r>
          </w:p>
          <w:p w14:paraId="35572683">
            <w:pPr>
              <w:pStyle w:val="3"/>
              <w:bidi w:val="0"/>
              <w:rPr>
                <w:rFonts w:hint="eastAsia"/>
                <w:b/>
                <w:bCs w:val="0"/>
                <w:lang w:val="en-US" w:eastAsia="zh-CN"/>
              </w:rPr>
            </w:pPr>
            <w:r>
              <w:rPr>
                <w:rFonts w:hint="eastAsia"/>
                <w:b/>
                <w:bCs w:val="0"/>
                <w:lang w:val="en-US" w:eastAsia="zh-CN"/>
              </w:rPr>
              <w:t>仓储物流部</w:t>
            </w:r>
          </w:p>
          <w:p w14:paraId="03529473">
            <w:pPr>
              <w:pStyle w:val="3"/>
              <w:numPr>
                <w:ilvl w:val="0"/>
                <w:numId w:val="10"/>
              </w:numPr>
              <w:ind w:left="425" w:leftChars="0" w:hanging="425" w:firstLineChars="0"/>
              <w:rPr>
                <w:rFonts w:hint="eastAsia"/>
                <w:lang w:val="en-US" w:eastAsia="zh-CN" w:bidi="ar"/>
              </w:rPr>
            </w:pPr>
            <w:r>
              <w:rPr>
                <w:rFonts w:hint="eastAsia"/>
                <w:lang w:val="en-US" w:eastAsia="zh-CN" w:bidi="ar"/>
              </w:rPr>
              <w:t>设置退货专用隔离库区，退回产品分区单独存放，严禁与合格成品混放；</w:t>
            </w:r>
          </w:p>
          <w:p w14:paraId="00461E54">
            <w:pPr>
              <w:pStyle w:val="3"/>
              <w:numPr>
                <w:ilvl w:val="0"/>
                <w:numId w:val="10"/>
              </w:numPr>
              <w:ind w:left="425" w:leftChars="0" w:hanging="425" w:firstLineChars="0"/>
              <w:rPr>
                <w:rFonts w:hint="eastAsia"/>
                <w:lang w:val="en-US" w:eastAsia="zh-CN" w:bidi="ar"/>
              </w:rPr>
            </w:pPr>
            <w:r>
              <w:rPr>
                <w:rFonts w:hint="eastAsia"/>
                <w:lang w:val="en-US" w:eastAsia="zh-CN" w:bidi="ar"/>
              </w:rPr>
              <w:t>收到退货后 1 个工作日内配合 QA 完成退货清点、联合验收；</w:t>
            </w:r>
          </w:p>
          <w:p w14:paraId="5580F0A3">
            <w:pPr>
              <w:pStyle w:val="3"/>
              <w:numPr>
                <w:ilvl w:val="0"/>
                <w:numId w:val="10"/>
              </w:numPr>
              <w:ind w:left="425" w:leftChars="0" w:hanging="425" w:firstLineChars="0"/>
              <w:rPr>
                <w:rFonts w:hint="eastAsia"/>
                <w:lang w:val="en-US" w:eastAsia="zh-CN" w:bidi="ar"/>
              </w:rPr>
            </w:pPr>
            <w:r>
              <w:rPr>
                <w:rFonts w:hint="eastAsia"/>
                <w:lang w:val="en-US" w:eastAsia="zh-CN" w:bidi="ar"/>
              </w:rPr>
              <w:t>根据 QC / 研发出具的退货检验判定结果，完成退货产品移库（合格品仓 / 不合格品报废仓）；</w:t>
            </w:r>
          </w:p>
          <w:p w14:paraId="1273963E">
            <w:pPr>
              <w:pStyle w:val="3"/>
              <w:numPr>
                <w:ilvl w:val="0"/>
                <w:numId w:val="10"/>
              </w:numPr>
              <w:ind w:left="425" w:leftChars="0" w:hanging="425" w:firstLineChars="0"/>
              <w:rPr>
                <w:rFonts w:hint="eastAsia"/>
                <w:lang w:val="en-US" w:eastAsia="zh-CN" w:bidi="ar"/>
              </w:rPr>
            </w:pPr>
            <w:r>
              <w:rPr>
                <w:rFonts w:hint="eastAsia"/>
                <w:lang w:val="en-US" w:eastAsia="zh-CN" w:bidi="ar"/>
              </w:rPr>
              <w:t>及时将退货物流单号、退货数量同步推送至销售支持部。</w:t>
            </w:r>
          </w:p>
          <w:p w14:paraId="6D691497">
            <w:pPr>
              <w:pStyle w:val="3"/>
              <w:bidi w:val="0"/>
              <w:rPr>
                <w:rFonts w:hint="eastAsia"/>
                <w:b/>
                <w:bCs w:val="0"/>
                <w:lang w:val="en-US" w:eastAsia="zh-CN"/>
              </w:rPr>
            </w:pPr>
            <w:r>
              <w:rPr>
                <w:rFonts w:hint="eastAsia"/>
                <w:b/>
                <w:bCs w:val="0"/>
                <w:lang w:val="en-US" w:eastAsia="zh-CN"/>
              </w:rPr>
              <w:t xml:space="preserve"> 销售支持部</w:t>
            </w:r>
          </w:p>
          <w:p w14:paraId="5A67B006">
            <w:pPr>
              <w:pStyle w:val="3"/>
              <w:numPr>
                <w:ilvl w:val="1"/>
                <w:numId w:val="0"/>
              </w:numPr>
              <w:ind w:leftChars="0" w:firstLine="440" w:firstLineChars="200"/>
              <w:rPr>
                <w:rFonts w:hint="default"/>
                <w:color w:val="000000" w:themeColor="text1"/>
                <w14:textFill>
                  <w14:solidFill>
                    <w14:schemeClr w14:val="tx1"/>
                  </w14:solidFill>
                </w14:textFill>
              </w:rPr>
            </w:pPr>
            <w:r>
              <w:rPr>
                <w:rFonts w:hint="default"/>
                <w:lang w:val="en-US" w:eastAsia="zh-CN" w:bidi="ar"/>
              </w:rPr>
              <w:t>客户原因退换货内部流程主导部门，负责退换货产品收发跟进、ERP 单据录入、客户账单调整、退款 / 换货账务核对等工作</w:t>
            </w:r>
            <w:r>
              <w:rPr>
                <w:rFonts w:hint="eastAsia"/>
                <w:lang w:val="en-US" w:eastAsia="zh-CN" w:bidi="ar"/>
              </w:rPr>
              <w:t>。</w:t>
            </w:r>
          </w:p>
          <w:bookmarkEnd w:id="1"/>
          <w:bookmarkEnd w:id="2"/>
          <w:bookmarkEnd w:id="3"/>
          <w:p w14:paraId="25B952E8">
            <w:pPr>
              <w:pStyle w:val="2"/>
              <w:bidi w:val="0"/>
              <w:rPr>
                <w:rFonts w:hint="default"/>
                <w:color w:val="000000" w:themeColor="text1"/>
                <w14:textFill>
                  <w14:solidFill>
                    <w14:schemeClr w14:val="tx1"/>
                  </w14:solidFill>
                </w14:textFill>
              </w:rPr>
            </w:pPr>
            <w:r>
              <w:rPr>
                <w:rFonts w:hint="eastAsia" w:ascii="宋体" w:hAnsi="宋体" w:cs="宋体"/>
                <w:szCs w:val="22"/>
                <w:lang w:val="en-US" w:eastAsia="zh-CN"/>
              </w:rPr>
              <w:t>客户反馈分类及基础处理原则</w:t>
            </w:r>
            <w:r>
              <w:rPr>
                <w:rFonts w:hint="default"/>
                <w:color w:val="000000" w:themeColor="text1"/>
                <w14:textFill>
                  <w14:solidFill>
                    <w14:schemeClr w14:val="tx1"/>
                  </w14:solidFill>
                </w14:textFill>
              </w:rPr>
              <w:t>：</w:t>
            </w:r>
          </w:p>
          <w:p w14:paraId="4D0F61D8">
            <w:pPr>
              <w:pStyle w:val="3"/>
              <w:bidi w:val="0"/>
              <w:rPr>
                <w:rFonts w:hint="default"/>
                <w:lang w:eastAsia="zh-CN"/>
              </w:rPr>
            </w:pPr>
            <w:r>
              <w:rPr>
                <w:rStyle w:val="34"/>
                <w:rFonts w:hint="eastAsia" w:ascii="宋体" w:hAnsi="宋体" w:cs="宋体"/>
                <w:bCs/>
                <w:color w:val="000000"/>
                <w:sz w:val="22"/>
                <w:szCs w:val="22"/>
              </w:rPr>
              <w:t>客诉性质分类定义对照</w:t>
            </w:r>
            <w:r>
              <w:rPr>
                <w:rFonts w:hint="eastAsia" w:ascii="宋体" w:hAnsi="宋体" w:cs="宋体"/>
                <w:color w:val="auto"/>
                <w:sz w:val="22"/>
                <w:szCs w:val="22"/>
              </w:rPr>
              <w:t>表</w:t>
            </w:r>
          </w:p>
          <w:tbl>
            <w:tblPr>
              <w:tblStyle w:val="22"/>
              <w:tblW w:w="10575" w:type="dxa"/>
              <w:tblInd w:w="-16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6"/>
              <w:gridCol w:w="946"/>
              <w:gridCol w:w="2615"/>
              <w:gridCol w:w="1885"/>
              <w:gridCol w:w="1169"/>
              <w:gridCol w:w="1516"/>
              <w:gridCol w:w="1338"/>
            </w:tblGrid>
            <w:tr w14:paraId="527BA039">
              <w:trPr>
                <w:trHeight w:val="818" w:hRule="atLeast"/>
              </w:trPr>
              <w:tc>
                <w:tcPr>
                  <w:tcW w:w="1106" w:type="dxa"/>
                  <w:tcBorders>
                    <w:top w:val="single" w:color="000000" w:sz="4" w:space="0"/>
                    <w:left w:val="single" w:color="000000" w:sz="4" w:space="0"/>
                    <w:bottom w:val="single" w:color="000000" w:sz="4" w:space="0"/>
                    <w:right w:val="single" w:color="000000" w:sz="4" w:space="0"/>
                  </w:tcBorders>
                  <w:shd w:val="clear" w:color="auto" w:fill="9BC2E6"/>
                  <w:vAlign w:val="center"/>
                </w:tcPr>
                <w:p w14:paraId="0B5A389B">
                  <w:pPr>
                    <w:keepNext w:val="0"/>
                    <w:keepLines w:val="0"/>
                    <w:widowControl/>
                    <w:suppressLineNumbers w:val="0"/>
                    <w:ind w:left="0" w:left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分类大类</w:t>
                  </w:r>
                </w:p>
              </w:tc>
              <w:tc>
                <w:tcPr>
                  <w:tcW w:w="946" w:type="dxa"/>
                  <w:tcBorders>
                    <w:top w:val="single" w:color="000000" w:sz="4" w:space="0"/>
                    <w:left w:val="single" w:color="000000" w:sz="4" w:space="0"/>
                    <w:bottom w:val="single" w:color="000000" w:sz="4" w:space="0"/>
                    <w:right w:val="single" w:color="000000" w:sz="4" w:space="0"/>
                  </w:tcBorders>
                  <w:shd w:val="clear" w:color="auto" w:fill="9BC2E6"/>
                  <w:vAlign w:val="center"/>
                </w:tcPr>
                <w:p w14:paraId="01486EEF">
                  <w:pPr>
                    <w:keepNext w:val="0"/>
                    <w:keepLines w:val="0"/>
                    <w:widowControl/>
                    <w:suppressLineNumbers w:val="0"/>
                    <w:ind w:left="0" w:left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细分类型</w:t>
                  </w:r>
                </w:p>
              </w:tc>
              <w:tc>
                <w:tcPr>
                  <w:tcW w:w="2615" w:type="dxa"/>
                  <w:tcBorders>
                    <w:top w:val="single" w:color="000000" w:sz="4" w:space="0"/>
                    <w:left w:val="single" w:color="000000" w:sz="4" w:space="0"/>
                    <w:bottom w:val="single" w:color="000000" w:sz="4" w:space="0"/>
                    <w:right w:val="single" w:color="000000" w:sz="4" w:space="0"/>
                  </w:tcBorders>
                  <w:shd w:val="clear" w:color="auto" w:fill="9BC2E6"/>
                  <w:vAlign w:val="center"/>
                </w:tcPr>
                <w:p w14:paraId="20F1C02E">
                  <w:pPr>
                    <w:keepNext w:val="0"/>
                    <w:keepLines w:val="0"/>
                    <w:widowControl/>
                    <w:suppressLineNumbers w:val="0"/>
                    <w:ind w:left="0" w:left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定义说明</w:t>
                  </w:r>
                </w:p>
              </w:tc>
              <w:tc>
                <w:tcPr>
                  <w:tcW w:w="1885" w:type="dxa"/>
                  <w:tcBorders>
                    <w:top w:val="single" w:color="000000" w:sz="4" w:space="0"/>
                    <w:left w:val="single" w:color="000000" w:sz="4" w:space="0"/>
                    <w:bottom w:val="single" w:color="000000" w:sz="4" w:space="0"/>
                    <w:right w:val="single" w:color="000000" w:sz="4" w:space="0"/>
                  </w:tcBorders>
                  <w:shd w:val="clear" w:color="auto" w:fill="9BC2E6"/>
                  <w:vAlign w:val="center"/>
                </w:tcPr>
                <w:p w14:paraId="4E1BDE52">
                  <w:pPr>
                    <w:keepNext w:val="0"/>
                    <w:keepLines w:val="0"/>
                    <w:widowControl/>
                    <w:suppressLineNumbers w:val="0"/>
                    <w:ind w:left="0" w:left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核心特征</w:t>
                  </w:r>
                </w:p>
              </w:tc>
              <w:tc>
                <w:tcPr>
                  <w:tcW w:w="1169" w:type="dxa"/>
                  <w:tcBorders>
                    <w:top w:val="single" w:color="000000" w:sz="4" w:space="0"/>
                    <w:left w:val="single" w:color="000000" w:sz="4" w:space="0"/>
                    <w:bottom w:val="single" w:color="000000" w:sz="4" w:space="0"/>
                    <w:right w:val="single" w:color="000000" w:sz="4" w:space="0"/>
                  </w:tcBorders>
                  <w:shd w:val="clear" w:color="auto" w:fill="9BC2E6"/>
                  <w:vAlign w:val="center"/>
                </w:tcPr>
                <w:p w14:paraId="338E9882">
                  <w:pPr>
                    <w:keepNext w:val="0"/>
                    <w:keepLines w:val="0"/>
                    <w:widowControl/>
                    <w:suppressLineNumbers w:val="0"/>
                    <w:ind w:left="0" w:left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外部对接人</w:t>
                  </w:r>
                </w:p>
              </w:tc>
              <w:tc>
                <w:tcPr>
                  <w:tcW w:w="1516" w:type="dxa"/>
                  <w:tcBorders>
                    <w:top w:val="single" w:color="000000" w:sz="4" w:space="0"/>
                    <w:left w:val="single" w:color="000000" w:sz="4" w:space="0"/>
                    <w:bottom w:val="single" w:color="000000" w:sz="4" w:space="0"/>
                    <w:right w:val="single" w:color="000000" w:sz="4" w:space="0"/>
                  </w:tcBorders>
                  <w:shd w:val="clear" w:color="auto" w:fill="9BC2E6"/>
                  <w:vAlign w:val="center"/>
                </w:tcPr>
                <w:p w14:paraId="6C62EFFE">
                  <w:pPr>
                    <w:keepNext w:val="0"/>
                    <w:keepLines w:val="0"/>
                    <w:widowControl/>
                    <w:suppressLineNumbers w:val="0"/>
                    <w:ind w:left="0" w:left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内部责任/跟进部门</w:t>
                  </w:r>
                </w:p>
              </w:tc>
              <w:tc>
                <w:tcPr>
                  <w:tcW w:w="1338" w:type="dxa"/>
                  <w:tcBorders>
                    <w:top w:val="single" w:color="000000" w:sz="4" w:space="0"/>
                    <w:left w:val="single" w:color="000000" w:sz="4" w:space="0"/>
                    <w:bottom w:val="single" w:color="000000" w:sz="4" w:space="0"/>
                    <w:right w:val="single" w:color="000000" w:sz="4" w:space="0"/>
                  </w:tcBorders>
                  <w:shd w:val="clear" w:color="auto" w:fill="9BC2E6"/>
                  <w:vAlign w:val="center"/>
                </w:tcPr>
                <w:p w14:paraId="583A2A54">
                  <w:pPr>
                    <w:keepNext w:val="0"/>
                    <w:keepLines w:val="0"/>
                    <w:widowControl/>
                    <w:suppressLineNumbers w:val="0"/>
                    <w:ind w:left="0" w:leftChars="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是否计入客诉考核、投诉率</w:t>
                  </w:r>
                </w:p>
              </w:tc>
            </w:tr>
            <w:tr w14:paraId="56BAC253">
              <w:trPr>
                <w:trHeight w:val="959" w:hRule="atLeast"/>
              </w:trPr>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26B4D">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非客诉（客户原因退换货）</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96AB5">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客户原因退换货</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CA749">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问题源于客户操作、使用环境、客户需求变更、订单沟通失误等，不存在公司产品缺陷</w:t>
                  </w: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87345">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销售前端即可判定非产品问题，单独走退换货流程</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74FC">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销售部</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182A">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主导：销售支持部；配合：仓储、QA</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719CE">
                  <w:pPr>
                    <w:keepNext w:val="0"/>
                    <w:keepLines w:val="0"/>
                    <w:widowControl/>
                    <w:suppressLineNumbers w:val="0"/>
                    <w:spacing w:line="24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w:t>
                  </w:r>
                </w:p>
              </w:tc>
            </w:tr>
            <w:tr w14:paraId="3BEED5F6">
              <w:trPr>
                <w:trHeight w:val="1242" w:hRule="atLeast"/>
              </w:trPr>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62589">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非考核类反馈</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0A77A">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技术改善类反馈</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EE0D5">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产品完全符合出厂标准，但因客户检测体系、非标使用场景差异产生指标分歧</w:t>
                  </w: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21359">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多层复测验证无产品不合格，仅存在场景适配差异</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93BD">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销售部（客情）、技术支持（技术解释）</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0A0E5">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评审：QA；</w:t>
                  </w:r>
                </w:p>
                <w:p w14:paraId="16834DE3">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优化主导：研发部；</w:t>
                  </w:r>
                </w:p>
                <w:p w14:paraId="2A93E9AB">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跟踪：技术支持</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3777C">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否，单独建档，不计入投诉率</w:t>
                  </w:r>
                </w:p>
              </w:tc>
            </w:tr>
            <w:tr w14:paraId="625ED490">
              <w:trPr>
                <w:trHeight w:val="1310" w:hRule="atLeast"/>
              </w:trPr>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DA5F9">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正式客诉（计入投诉率）</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9630A">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质量客诉（含非性能 / 性能）</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02D67">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公司产品本身存在缺陷引发客户反馈，包含批间差异、稳定性、标签、说明书、装量、发货错误、沉淀析出、污染等</w:t>
                  </w: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A0AA">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销售前端无法直接判定，必须启动客诉流程内部排查</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64340">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销售部</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74E8C">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统筹：QA；检验：QC；生产异常：生产部</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B2392">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是，纳入投诉率统计</w:t>
                  </w:r>
                </w:p>
              </w:tc>
            </w:tr>
            <w:tr w14:paraId="573722EC">
              <w:trPr>
                <w:trHeight w:val="1141" w:hRule="atLeast"/>
              </w:trPr>
              <w:tc>
                <w:tcPr>
                  <w:tcW w:w="11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EADE">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正式客诉（计入投诉率）</w:t>
                  </w:r>
                </w:p>
              </w:tc>
              <w:tc>
                <w:tcPr>
                  <w:tcW w:w="9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65CD">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研发设计缺陷类客诉</w:t>
                  </w:r>
                </w:p>
              </w:tc>
              <w:tc>
                <w:tcPr>
                  <w:tcW w:w="26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2060">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经多轮验证确认，产品配方、工艺、结构、出厂检测标准存在设计层面固有缺陷，出厂即存在失效风险</w:t>
                  </w:r>
                </w:p>
              </w:tc>
              <w:tc>
                <w:tcPr>
                  <w:tcW w:w="1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8A33">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常规出厂检验无法规避，根源为产品设计缺陷</w:t>
                  </w:r>
                </w:p>
              </w:tc>
              <w:tc>
                <w:tcPr>
                  <w:tcW w:w="11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0A53E">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销售部</w:t>
                  </w:r>
                </w:p>
              </w:tc>
              <w:tc>
                <w:tcPr>
                  <w:tcW w:w="1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F19C8">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主责：研发部；统筹管控：QA</w:t>
                  </w:r>
                </w:p>
              </w:tc>
              <w:tc>
                <w:tcPr>
                  <w:tcW w:w="13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045B7">
                  <w:pPr>
                    <w:keepNext w:val="0"/>
                    <w:keepLines w:val="0"/>
                    <w:widowControl/>
                    <w:suppressLineNumbers w:val="0"/>
                    <w:spacing w:line="240" w:lineRule="auto"/>
                    <w:ind w:left="0" w:leftChars="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是，纳入投诉率统计</w:t>
                  </w:r>
                </w:p>
              </w:tc>
            </w:tr>
          </w:tbl>
          <w:p w14:paraId="0ECB44AD">
            <w:pPr>
              <w:pStyle w:val="3"/>
              <w:bidi w:val="0"/>
              <w:rPr>
                <w:rFonts w:hint="eastAsia"/>
              </w:rPr>
            </w:pPr>
            <w:r>
              <w:rPr>
                <w:rFonts w:hint="eastAsia"/>
                <w:lang w:val="en-US" w:eastAsia="zh-CN"/>
              </w:rPr>
              <w:t>客诉三级分类下，按照性质分类</w:t>
            </w:r>
            <w:r>
              <w:rPr>
                <w:rFonts w:hint="eastAsia"/>
              </w:rPr>
              <w:t>：</w:t>
            </w:r>
          </w:p>
          <w:p w14:paraId="6FF11914">
            <w:pPr>
              <w:pStyle w:val="3"/>
              <w:numPr>
                <w:ilvl w:val="0"/>
                <w:numId w:val="11"/>
              </w:numPr>
              <w:ind w:left="425" w:leftChars="0" w:hanging="425" w:firstLineChars="0"/>
              <w:rPr>
                <w:rFonts w:hint="eastAsia"/>
                <w:lang w:val="en-US" w:eastAsia="zh-CN" w:bidi="ar"/>
              </w:rPr>
            </w:pPr>
            <w:r>
              <w:rPr>
                <w:rFonts w:hint="eastAsia"/>
                <w:lang w:val="en-US" w:eastAsia="zh-CN" w:bidi="ar"/>
              </w:rPr>
              <w:t>一级客诉（重大客诉）：多批量产品异常、客户重大经济损失、存在舆情/合规风险、大客户终止合作风险；</w:t>
            </w:r>
            <w:commentRangeStart w:id="3"/>
            <w:r>
              <w:rPr>
                <w:rFonts w:hint="eastAsia"/>
                <w:lang w:val="en-US" w:eastAsia="zh-CN" w:bidi="ar"/>
              </w:rPr>
              <w:t>15 分钟内发起流程</w:t>
            </w:r>
            <w:commentRangeEnd w:id="3"/>
            <w:r>
              <w:commentReference w:id="3"/>
            </w:r>
            <w:r>
              <w:rPr>
                <w:rFonts w:hint="eastAsia"/>
                <w:lang w:val="en-US" w:eastAsia="zh-CN" w:bidi="ar"/>
              </w:rPr>
              <w:t>同步建立钉钉客诉群（</w:t>
            </w:r>
            <w:r>
              <w:rPr>
                <w:rFonts w:hint="eastAsia" w:ascii="宋体" w:hAnsi="宋体" w:eastAsia="宋体" w:cs="宋体"/>
                <w:i w:val="0"/>
                <w:iCs w:val="0"/>
                <w:color w:val="000000"/>
                <w:kern w:val="0"/>
                <w:sz w:val="20"/>
                <w:szCs w:val="20"/>
                <w:u w:val="none"/>
                <w:lang w:val="en-US" w:eastAsia="zh-CN" w:bidi="ar"/>
              </w:rPr>
              <w:t>一级</w:t>
            </w:r>
            <w:r>
              <w:rPr>
                <w:rFonts w:hint="eastAsia" w:ascii="宋体" w:hAnsi="宋体" w:cs="宋体"/>
                <w:i w:val="0"/>
                <w:iCs w:val="0"/>
                <w:color w:val="000000"/>
                <w:kern w:val="0"/>
                <w:sz w:val="20"/>
                <w:szCs w:val="20"/>
                <w:u w:val="none"/>
                <w:lang w:val="en-US" w:eastAsia="zh-CN" w:bidi="ar"/>
              </w:rPr>
              <w:t>客诉：</w:t>
            </w:r>
            <w:r>
              <w:rPr>
                <w:rFonts w:hint="eastAsia" w:ascii="宋体" w:hAnsi="宋体" w:eastAsia="宋体" w:cs="宋体"/>
                <w:i w:val="0"/>
                <w:iCs w:val="0"/>
                <w:color w:val="000000"/>
                <w:kern w:val="0"/>
                <w:sz w:val="20"/>
                <w:szCs w:val="20"/>
                <w:u w:val="none"/>
                <w:lang w:val="en-US" w:eastAsia="zh-CN" w:bidi="ar"/>
              </w:rPr>
              <w:t>XX客户</w:t>
            </w:r>
            <w:r>
              <w:rPr>
                <w:rFonts w:hint="eastAsia"/>
                <w:lang w:val="en-US" w:eastAsia="zh-CN" w:bidi="ar"/>
              </w:rPr>
              <w:t>）、1 个工作日完成全部排查；即时上报总经理、管代、技术负责人，成立专项小组。</w:t>
            </w:r>
          </w:p>
          <w:p w14:paraId="7F3EBD16">
            <w:pPr>
              <w:pStyle w:val="3"/>
              <w:numPr>
                <w:ilvl w:val="0"/>
                <w:numId w:val="11"/>
              </w:numPr>
              <w:ind w:left="425" w:leftChars="0" w:hanging="425" w:firstLineChars="0"/>
              <w:rPr>
                <w:rFonts w:hint="eastAsia"/>
                <w:lang w:val="en-US" w:eastAsia="zh-CN" w:bidi="ar"/>
              </w:rPr>
            </w:pPr>
            <w:r>
              <w:rPr>
                <w:rFonts w:hint="eastAsia"/>
                <w:lang w:val="en-US" w:eastAsia="zh-CN" w:bidi="ar"/>
              </w:rPr>
              <w:t>二级客诉（重要客诉）：少量批次异常、客户产生明显经济损失、长期合作客户投诉；30 分钟内发起流程同步建立钉钉客诉群（</w:t>
            </w:r>
            <w:r>
              <w:rPr>
                <w:rFonts w:hint="eastAsia" w:ascii="宋体" w:hAnsi="宋体" w:cs="宋体"/>
                <w:i w:val="0"/>
                <w:iCs w:val="0"/>
                <w:color w:val="000000"/>
                <w:kern w:val="0"/>
                <w:sz w:val="20"/>
                <w:szCs w:val="20"/>
                <w:u w:val="none"/>
                <w:lang w:val="en-US" w:eastAsia="zh-CN" w:bidi="ar"/>
              </w:rPr>
              <w:t>二</w:t>
            </w:r>
            <w:r>
              <w:rPr>
                <w:rFonts w:hint="eastAsia" w:ascii="宋体" w:hAnsi="宋体" w:eastAsia="宋体" w:cs="宋体"/>
                <w:i w:val="0"/>
                <w:iCs w:val="0"/>
                <w:color w:val="000000"/>
                <w:kern w:val="0"/>
                <w:sz w:val="20"/>
                <w:szCs w:val="20"/>
                <w:u w:val="none"/>
                <w:lang w:val="en-US" w:eastAsia="zh-CN" w:bidi="ar"/>
              </w:rPr>
              <w:t>级</w:t>
            </w:r>
            <w:r>
              <w:rPr>
                <w:rFonts w:hint="eastAsia" w:ascii="宋体" w:hAnsi="宋体" w:cs="宋体"/>
                <w:i w:val="0"/>
                <w:iCs w:val="0"/>
                <w:color w:val="000000"/>
                <w:kern w:val="0"/>
                <w:sz w:val="20"/>
                <w:szCs w:val="20"/>
                <w:u w:val="none"/>
                <w:lang w:val="en-US" w:eastAsia="zh-CN" w:bidi="ar"/>
              </w:rPr>
              <w:t>客诉：</w:t>
            </w:r>
            <w:r>
              <w:rPr>
                <w:rFonts w:hint="eastAsia" w:ascii="宋体" w:hAnsi="宋体" w:eastAsia="宋体" w:cs="宋体"/>
                <w:i w:val="0"/>
                <w:iCs w:val="0"/>
                <w:color w:val="000000"/>
                <w:kern w:val="0"/>
                <w:sz w:val="20"/>
                <w:szCs w:val="20"/>
                <w:u w:val="none"/>
                <w:lang w:val="en-US" w:eastAsia="zh-CN" w:bidi="ar"/>
              </w:rPr>
              <w:t>XX客户</w:t>
            </w:r>
            <w:r>
              <w:rPr>
                <w:rFonts w:hint="eastAsia"/>
                <w:lang w:val="en-US" w:eastAsia="zh-CN" w:bidi="ar"/>
              </w:rPr>
              <w:t>），3 个工作日完成实验验证，同步分管副总。</w:t>
            </w:r>
          </w:p>
          <w:p w14:paraId="4204790B">
            <w:pPr>
              <w:pStyle w:val="3"/>
              <w:numPr>
                <w:ilvl w:val="0"/>
                <w:numId w:val="11"/>
              </w:numPr>
              <w:ind w:left="425" w:leftChars="0" w:hanging="425" w:firstLineChars="0"/>
              <w:rPr>
                <w:rFonts w:hint="eastAsia"/>
                <w:lang w:val="en-US" w:eastAsia="zh-CN" w:bidi="ar"/>
              </w:rPr>
            </w:pPr>
            <w:r>
              <w:rPr>
                <w:rFonts w:hint="eastAsia"/>
                <w:lang w:val="en-US" w:eastAsia="zh-CN" w:bidi="ar"/>
              </w:rPr>
              <w:t>三级客诉（一般客诉）：单批少量样品、轻微外观 / 标识问题，无大额损失，已终止合作的客户；60 分钟内发起流程，7 个工作日完成常规实验验证。</w:t>
            </w:r>
            <w:commentRangeStart w:id="4"/>
            <w:r>
              <w:rPr>
                <w:rFonts w:hint="eastAsia"/>
                <w:lang w:val="en-US" w:eastAsia="zh-CN" w:bidi="ar"/>
              </w:rPr>
              <w:t>每半个月同步一次进</w:t>
            </w:r>
            <w:commentRangeEnd w:id="4"/>
            <w:r>
              <w:commentReference w:id="4"/>
            </w:r>
            <w:r>
              <w:rPr>
                <w:rFonts w:hint="eastAsia"/>
                <w:lang w:val="en-US" w:eastAsia="zh-CN" w:bidi="ar"/>
              </w:rPr>
              <w:t>度。</w:t>
            </w:r>
          </w:p>
          <w:p w14:paraId="56FC2C5C">
            <w:pPr>
              <w:keepNext w:val="0"/>
              <w:keepLines w:val="0"/>
              <w:widowControl/>
              <w:numPr>
                <w:ilvl w:val="0"/>
                <w:numId w:val="11"/>
              </w:numPr>
              <w:suppressLineNumbers w:val="0"/>
              <w:spacing w:line="360" w:lineRule="auto"/>
              <w:ind w:left="425" w:leftChars="0" w:hanging="425" w:firstLineChars="0"/>
              <w:jc w:val="left"/>
              <w:textAlignment w:val="top"/>
              <w:rPr>
                <w:rFonts w:hint="eastAsia" w:ascii="Times New Roman" w:hAnsi="Times New Roman" w:eastAsia="宋体" w:cs="Times New Roman"/>
                <w:bCs/>
                <w:kern w:val="2"/>
                <w:sz w:val="22"/>
                <w:szCs w:val="24"/>
                <w:lang w:val="en-US" w:eastAsia="zh-CN" w:bidi="ar"/>
              </w:rPr>
            </w:pPr>
            <w:commentRangeStart w:id="5"/>
            <w:r>
              <w:rPr>
                <w:rFonts w:hint="eastAsia" w:ascii="Times New Roman" w:hAnsi="Times New Roman" w:eastAsia="宋体" w:cs="Times New Roman"/>
                <w:bCs/>
                <w:kern w:val="2"/>
                <w:sz w:val="22"/>
                <w:szCs w:val="24"/>
                <w:lang w:val="en-US" w:eastAsia="zh-CN" w:bidi="ar"/>
              </w:rPr>
              <w:t>客诉等级判定规则</w:t>
            </w:r>
            <w:commentRangeEnd w:id="5"/>
            <w:r>
              <w:commentReference w:id="5"/>
            </w:r>
            <w:r>
              <w:rPr>
                <w:rFonts w:hint="eastAsia" w:ascii="宋体" w:hAnsi="宋体" w:eastAsia="宋体" w:cs="宋体"/>
                <w:b w:val="0"/>
                <w:bCs w:val="0"/>
                <w:i w:val="0"/>
                <w:iCs w:val="0"/>
                <w:color w:val="auto"/>
                <w:kern w:val="2"/>
                <w:sz w:val="20"/>
                <w:szCs w:val="20"/>
                <w:u w:val="none"/>
                <w:lang w:val="en-US" w:eastAsia="zh-CN" w:bidi="ar"/>
              </w:rPr>
              <w:br w:type="textWrapping"/>
            </w:r>
            <w:r>
              <w:rPr>
                <w:rFonts w:hint="eastAsia" w:ascii="Times New Roman" w:hAnsi="Times New Roman" w:eastAsia="宋体" w:cs="Times New Roman"/>
                <w:bCs/>
                <w:kern w:val="2"/>
                <w:sz w:val="22"/>
                <w:szCs w:val="24"/>
                <w:lang w:val="en-US" w:eastAsia="zh-CN" w:bidi="ar"/>
              </w:rPr>
              <w:t>销售部按照上述原则判定，无法准确区分等级时，统一按更高一级。</w:t>
            </w:r>
          </w:p>
          <w:p w14:paraId="3095D512">
            <w:pPr>
              <w:keepNext w:val="0"/>
              <w:keepLines w:val="0"/>
              <w:widowControl/>
              <w:numPr>
                <w:ilvl w:val="0"/>
                <w:numId w:val="0"/>
              </w:numPr>
              <w:suppressLineNumbers w:val="0"/>
              <w:spacing w:line="360" w:lineRule="auto"/>
              <w:ind w:leftChars="0" w:firstLine="440" w:firstLineChars="200"/>
              <w:jc w:val="left"/>
              <w:textAlignment w:val="top"/>
              <w:rPr>
                <w:rFonts w:hint="eastAsia" w:ascii="Times New Roman" w:hAnsi="Times New Roman" w:eastAsia="宋体" w:cs="Times New Roman"/>
                <w:bCs/>
                <w:kern w:val="2"/>
                <w:sz w:val="22"/>
                <w:szCs w:val="24"/>
                <w:lang w:val="en-US" w:eastAsia="zh-CN" w:bidi="ar"/>
              </w:rPr>
            </w:pPr>
            <w:r>
              <w:rPr>
                <w:rFonts w:hint="eastAsia" w:cs="Times New Roman"/>
                <w:bCs/>
                <w:kern w:val="2"/>
                <w:sz w:val="22"/>
                <w:szCs w:val="24"/>
                <w:lang w:val="en-US" w:eastAsia="zh-CN" w:bidi="ar"/>
              </w:rPr>
              <w:t>各部门可依据实际情况向QA申请升降级</w:t>
            </w:r>
            <w:r>
              <w:rPr>
                <w:rFonts w:hint="eastAsia" w:ascii="Times New Roman" w:hAnsi="Times New Roman" w:eastAsia="宋体" w:cs="Times New Roman"/>
                <w:bCs/>
                <w:kern w:val="2"/>
                <w:sz w:val="22"/>
                <w:szCs w:val="24"/>
                <w:lang w:val="en-US" w:eastAsia="zh-CN" w:bidi="ar"/>
              </w:rPr>
              <w:t>，最终等级以QA的判定为准，等级调整需在流程、钉钉群上注明调整依据。</w:t>
            </w:r>
          </w:p>
          <w:p w14:paraId="6F3FEAD0">
            <w:pPr>
              <w:pStyle w:val="3"/>
              <w:bidi w:val="0"/>
              <w:rPr>
                <w:rFonts w:hint="default"/>
                <w:b/>
                <w:bCs w:val="0"/>
                <w:lang w:val="en-US" w:eastAsia="zh-CN"/>
              </w:rPr>
            </w:pPr>
            <w:r>
              <w:rPr>
                <w:rFonts w:hint="eastAsia"/>
                <w:b/>
                <w:bCs w:val="0"/>
                <w:lang w:val="en-US" w:eastAsia="zh-CN"/>
              </w:rPr>
              <w:t>客</w:t>
            </w:r>
            <w:r>
              <w:rPr>
                <w:rFonts w:hint="eastAsia"/>
                <w:b/>
                <w:bCs w:val="0"/>
              </w:rPr>
              <w:t>诉</w:t>
            </w:r>
            <w:r>
              <w:rPr>
                <w:rFonts w:hint="eastAsia"/>
                <w:b/>
                <w:bCs w:val="0"/>
                <w:lang w:val="en-US" w:eastAsia="zh-CN"/>
              </w:rPr>
              <w:t>投诉</w:t>
            </w:r>
            <w:r>
              <w:rPr>
                <w:rFonts w:hint="eastAsia"/>
                <w:b/>
                <w:bCs w:val="0"/>
              </w:rPr>
              <w:t>率计算规则</w:t>
            </w:r>
          </w:p>
          <w:p w14:paraId="6CFBEF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Times New Roman" w:hAnsi="Times New Roman" w:eastAsia="宋体" w:cs="Times New Roman"/>
                <w:bCs/>
                <w:kern w:val="2"/>
                <w:sz w:val="22"/>
                <w:szCs w:val="24"/>
                <w:lang w:val="en-US" w:eastAsia="zh-CN" w:bidi="ar"/>
              </w:rPr>
            </w:pPr>
            <w:commentRangeStart w:id="6"/>
            <w:r>
              <w:rPr>
                <w:rFonts w:hint="eastAsia" w:ascii="Times New Roman" w:hAnsi="Times New Roman" w:eastAsia="宋体" w:cs="Times New Roman"/>
                <w:bCs/>
                <w:kern w:val="2"/>
                <w:sz w:val="22"/>
                <w:szCs w:val="24"/>
                <w:lang w:val="en-US" w:eastAsia="zh-CN" w:bidi="ar"/>
              </w:rPr>
              <w:t>投诉率=</w:t>
            </w:r>
            <w:commentRangeEnd w:id="6"/>
            <w:r>
              <w:commentReference w:id="6"/>
            </w:r>
            <w:r>
              <w:rPr>
                <w:rFonts w:hint="eastAsia" w:ascii="Times New Roman" w:hAnsi="Times New Roman" w:eastAsia="宋体" w:cs="Times New Roman"/>
                <w:bCs/>
                <w:kern w:val="2"/>
                <w:sz w:val="22"/>
                <w:szCs w:val="24"/>
                <w:lang w:val="en-US" w:eastAsia="zh-CN" w:bidi="ar"/>
              </w:rPr>
              <w:t xml:space="preserve">（当期公司责任质量投诉总次数 ÷ 当期全部订单总数量）× 100% </w:t>
            </w:r>
          </w:p>
          <w:p w14:paraId="78D0319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Times New Roman" w:hAnsi="Times New Roman" w:eastAsia="宋体" w:cs="Times New Roman"/>
                <w:bCs/>
                <w:kern w:val="2"/>
                <w:sz w:val="22"/>
                <w:szCs w:val="24"/>
                <w:lang w:val="en-US" w:eastAsia="zh-CN" w:bidi="ar"/>
              </w:rPr>
            </w:pPr>
            <w:r>
              <w:rPr>
                <w:rFonts w:hint="eastAsia" w:ascii="Times New Roman" w:hAnsi="Times New Roman" w:eastAsia="宋体" w:cs="Times New Roman"/>
                <w:bCs/>
                <w:kern w:val="2"/>
                <w:sz w:val="22"/>
                <w:szCs w:val="24"/>
                <w:lang w:val="en-US" w:eastAsia="zh-CN" w:bidi="ar"/>
              </w:rPr>
              <w:t>统计口径：仅包含质量客诉、研发设计缺陷类客诉；客户退换货、技术改善类反馈不参与计算。</w:t>
            </w:r>
          </w:p>
          <w:p w14:paraId="329F8803">
            <w:pPr>
              <w:pStyle w:val="3"/>
              <w:bidi w:val="0"/>
              <w:rPr>
                <w:rFonts w:hint="eastAsia"/>
                <w:b/>
                <w:bCs w:val="0"/>
              </w:rPr>
            </w:pPr>
            <w:r>
              <w:rPr>
                <w:rFonts w:hint="eastAsia"/>
                <w:b/>
                <w:bCs w:val="0"/>
              </w:rPr>
              <w:t>客诉通用处理六大原则</w:t>
            </w:r>
          </w:p>
          <w:p w14:paraId="0EC7DFD0">
            <w:pPr>
              <w:pStyle w:val="3"/>
              <w:numPr>
                <w:ilvl w:val="0"/>
                <w:numId w:val="12"/>
              </w:numPr>
              <w:ind w:left="425" w:leftChars="0" w:hanging="425" w:firstLineChars="0"/>
              <w:rPr>
                <w:rFonts w:hint="eastAsia"/>
                <w:lang w:val="en-US" w:eastAsia="zh-CN" w:bidi="ar"/>
              </w:rPr>
            </w:pPr>
            <w:r>
              <w:rPr>
                <w:rFonts w:hint="eastAsia"/>
                <w:lang w:val="en-US" w:eastAsia="zh-CN" w:bidi="ar"/>
              </w:rPr>
              <w:t>分级时效原则：严格按照一 / 二 / 三级客诉差异化执行响应、实验、上报时限，高等级客诉优先调配人力、实验资源；</w:t>
            </w:r>
          </w:p>
          <w:p w14:paraId="7BC925CA">
            <w:pPr>
              <w:pStyle w:val="3"/>
              <w:numPr>
                <w:ilvl w:val="0"/>
                <w:numId w:val="12"/>
              </w:numPr>
              <w:ind w:left="425" w:leftChars="0" w:hanging="425" w:firstLineChars="0"/>
              <w:rPr>
                <w:rFonts w:hint="eastAsia"/>
                <w:lang w:val="en-US" w:eastAsia="zh-CN" w:bidi="ar"/>
              </w:rPr>
            </w:pPr>
            <w:r>
              <w:rPr>
                <w:rFonts w:hint="eastAsia"/>
                <w:lang w:val="en-US" w:eastAsia="zh-CN" w:bidi="ar"/>
              </w:rPr>
              <w:t>快速响应原则：接收客户反馈第一时间安抚客户，按分级时限完成流程录入，避免投诉升级、舆情发酵；</w:t>
            </w:r>
          </w:p>
          <w:p w14:paraId="3EA2FEAC">
            <w:pPr>
              <w:pStyle w:val="3"/>
              <w:numPr>
                <w:ilvl w:val="0"/>
                <w:numId w:val="12"/>
              </w:numPr>
              <w:ind w:left="425" w:leftChars="0" w:hanging="425" w:firstLineChars="0"/>
              <w:rPr>
                <w:rFonts w:hint="eastAsia"/>
                <w:lang w:val="en-US" w:eastAsia="zh-CN" w:bidi="ar"/>
              </w:rPr>
            </w:pPr>
            <w:r>
              <w:rPr>
                <w:rFonts w:hint="eastAsia"/>
                <w:lang w:val="en-US" w:eastAsia="zh-CN" w:bidi="ar"/>
              </w:rPr>
              <w:t>同理心协同原则：各部门跨岗协同，站在客户使用视角解决问题，严禁内部推诿、消极拖延；</w:t>
            </w:r>
          </w:p>
          <w:p w14:paraId="0EA58A13">
            <w:pPr>
              <w:pStyle w:val="3"/>
              <w:numPr>
                <w:ilvl w:val="0"/>
                <w:numId w:val="12"/>
              </w:numPr>
              <w:ind w:left="425" w:leftChars="0" w:hanging="425" w:firstLineChars="0"/>
              <w:rPr>
                <w:rFonts w:hint="eastAsia"/>
                <w:lang w:val="en-US" w:eastAsia="zh-CN" w:bidi="ar"/>
              </w:rPr>
            </w:pPr>
            <w:r>
              <w:rPr>
                <w:rFonts w:hint="eastAsia"/>
                <w:lang w:val="en-US" w:eastAsia="zh-CN" w:bidi="ar"/>
              </w:rPr>
              <w:t>双赢管控原则：非公司责任类反馈平衡客户关系与公司成本，不随意承诺赔付、不生硬拒绝客户合理诉求；</w:t>
            </w:r>
          </w:p>
          <w:p w14:paraId="4645D9C9">
            <w:pPr>
              <w:pStyle w:val="3"/>
              <w:numPr>
                <w:ilvl w:val="0"/>
                <w:numId w:val="12"/>
              </w:numPr>
              <w:ind w:left="425" w:leftChars="0" w:hanging="425" w:firstLineChars="0"/>
              <w:rPr>
                <w:rFonts w:hint="eastAsia"/>
                <w:lang w:val="en-US" w:eastAsia="zh-CN" w:bidi="ar"/>
              </w:rPr>
            </w:pPr>
            <w:r>
              <w:rPr>
                <w:rFonts w:hint="eastAsia"/>
                <w:lang w:val="en-US" w:eastAsia="zh-CN" w:bidi="ar"/>
              </w:rPr>
              <w:t>双重闭环原则：销售完成客户外部闭环、QA 完成内部整改闭环，两项闭环全部完成方可结案归档；</w:t>
            </w:r>
          </w:p>
          <w:p w14:paraId="2C652B63">
            <w:pPr>
              <w:pStyle w:val="3"/>
              <w:numPr>
                <w:ilvl w:val="0"/>
                <w:numId w:val="12"/>
              </w:numPr>
              <w:ind w:left="425" w:leftChars="0" w:hanging="425" w:firstLineChars="0"/>
              <w:rPr>
                <w:rFonts w:hint="eastAsia"/>
                <w:lang w:val="en-US" w:eastAsia="zh-CN" w:bidi="ar"/>
              </w:rPr>
            </w:pPr>
            <w:r>
              <w:rPr>
                <w:rFonts w:hint="eastAsia"/>
                <w:lang w:val="en-US" w:eastAsia="zh-CN" w:bidi="ar"/>
              </w:rPr>
              <w:t>升级兜底原则：客诉处置推进受阻、客户诉求持续升级时，按分级规则自动 / 手动升级管理层介入，禁止搁置投诉。</w:t>
            </w:r>
            <w:r>
              <w:commentReference w:id="7"/>
            </w:r>
          </w:p>
          <w:p w14:paraId="0D209B49">
            <w:pPr>
              <w:pStyle w:val="2"/>
              <w:bidi w:val="0"/>
              <w:rPr>
                <w:rFonts w:hint="default"/>
                <w:color w:val="000000" w:themeColor="text1"/>
                <w14:textFill>
                  <w14:solidFill>
                    <w14:schemeClr w14:val="tx1"/>
                  </w14:solidFill>
                </w14:textFill>
              </w:rPr>
            </w:pPr>
            <w:r>
              <w:rPr>
                <w:rFonts w:hint="default"/>
                <w:color w:val="000000" w:themeColor="text1"/>
                <w14:textFill>
                  <w14:solidFill>
                    <w14:schemeClr w14:val="tx1"/>
                  </w14:solidFill>
                </w14:textFill>
              </w:rPr>
              <w:t>工作内容：</w:t>
            </w:r>
          </w:p>
          <w:p w14:paraId="47B75436">
            <w:pPr>
              <w:pStyle w:val="3"/>
              <w:bidi w:val="0"/>
              <w:rPr>
                <w:rFonts w:hint="eastAsia"/>
                <w:b/>
                <w:bCs w:val="0"/>
                <w:lang w:val="en-US" w:eastAsia="zh-CN"/>
              </w:rPr>
            </w:pPr>
            <w:r>
              <w:rPr>
                <w:rFonts w:hint="eastAsia"/>
                <w:b/>
                <w:bCs w:val="0"/>
                <w:lang w:val="en-US" w:eastAsia="zh-CN"/>
              </w:rPr>
              <w:t>客户原因退换货流程（不属于正式客诉）</w:t>
            </w:r>
          </w:p>
          <w:p w14:paraId="2AF09EC0">
            <w:pPr>
              <w:pStyle w:val="3"/>
              <w:numPr>
                <w:ilvl w:val="0"/>
                <w:numId w:val="13"/>
              </w:numPr>
              <w:ind w:left="425" w:leftChars="0" w:hanging="425" w:firstLineChars="0"/>
              <w:rPr>
                <w:rFonts w:hint="eastAsia"/>
                <w:lang w:val="en-US" w:eastAsia="zh-CN" w:bidi="ar"/>
              </w:rPr>
            </w:pPr>
            <w:r>
              <w:rPr>
                <w:rFonts w:hint="eastAsia"/>
                <w:lang w:val="en-US" w:eastAsia="zh-CN" w:bidi="ar"/>
              </w:rPr>
              <w:t>销售接收客户反馈，判定问题非产品质量缺陷；第一时间安抚客户，在飞书发起专属退换货审批流程，清晰标注反馈等级、退换货完整理由；</w:t>
            </w:r>
          </w:p>
          <w:p w14:paraId="180168A1">
            <w:pPr>
              <w:pStyle w:val="3"/>
              <w:numPr>
                <w:ilvl w:val="0"/>
                <w:numId w:val="13"/>
              </w:numPr>
              <w:ind w:left="425" w:leftChars="0" w:hanging="425" w:firstLineChars="0"/>
              <w:rPr>
                <w:rFonts w:hint="eastAsia"/>
                <w:lang w:val="en-US" w:eastAsia="zh-CN" w:bidi="ar"/>
              </w:rPr>
            </w:pPr>
            <w:r>
              <w:rPr>
                <w:rFonts w:hint="eastAsia"/>
                <w:lang w:val="en-US" w:eastAsia="zh-CN" w:bidi="ar"/>
              </w:rPr>
              <w:t xml:space="preserve">审批分层权限管控： </w:t>
            </w:r>
          </w:p>
          <w:p w14:paraId="00F0F352">
            <w:pPr>
              <w:bidi w:val="0"/>
              <w:rPr>
                <w:rFonts w:hint="eastAsia"/>
                <w:lang w:val="en-US" w:eastAsia="zh-CN"/>
              </w:rPr>
            </w:pPr>
            <w:r>
              <w:rPr>
                <w:rFonts w:hint="eastAsia"/>
                <w:lang w:val="en-US" w:eastAsia="zh-CN"/>
              </w:rPr>
              <w:t>普通小额订单：大区经理→销售经理→管理者代表审批（管代拥有最终否决权）；</w:t>
            </w:r>
          </w:p>
          <w:p w14:paraId="25B33C93">
            <w:pPr>
              <w:bidi w:val="0"/>
              <w:rPr>
                <w:rFonts w:hint="eastAsia"/>
                <w:lang w:val="en-US" w:eastAsia="zh-CN"/>
              </w:rPr>
            </w:pPr>
            <w:r>
              <w:rPr>
                <w:rFonts w:hint="eastAsia"/>
                <w:lang w:val="en-US" w:eastAsia="zh-CN"/>
              </w:rPr>
              <w:t>单批货值≥5 万元：在上述审批链基础上增加总经理终审；</w:t>
            </w:r>
          </w:p>
          <w:p w14:paraId="19816DA4">
            <w:pPr>
              <w:pStyle w:val="3"/>
              <w:numPr>
                <w:ilvl w:val="0"/>
                <w:numId w:val="13"/>
              </w:numPr>
              <w:ind w:left="425" w:leftChars="0" w:hanging="425" w:firstLineChars="0"/>
              <w:rPr>
                <w:rFonts w:hint="eastAsia"/>
                <w:lang w:val="en-US" w:eastAsia="zh-CN" w:bidi="ar"/>
              </w:rPr>
            </w:pPr>
            <w:r>
              <w:rPr>
                <w:rFonts w:hint="eastAsia"/>
                <w:lang w:val="en-US" w:eastAsia="zh-CN" w:bidi="ar"/>
              </w:rPr>
              <w:t>审批通过后，销售同步退货物流信息至仓储物流部；</w:t>
            </w:r>
          </w:p>
          <w:p w14:paraId="3C8C34AE">
            <w:pPr>
              <w:pStyle w:val="3"/>
              <w:numPr>
                <w:ilvl w:val="0"/>
                <w:numId w:val="13"/>
              </w:numPr>
              <w:ind w:left="425" w:leftChars="0" w:hanging="425" w:firstLineChars="0"/>
              <w:rPr>
                <w:rFonts w:hint="eastAsia"/>
                <w:lang w:val="en-US" w:eastAsia="zh-CN" w:bidi="ar"/>
              </w:rPr>
            </w:pPr>
            <w:r>
              <w:rPr>
                <w:rFonts w:hint="eastAsia"/>
                <w:lang w:val="en-US" w:eastAsia="zh-CN" w:bidi="ar"/>
              </w:rPr>
              <w:t>仓库将退货放入隔离区存放，1 个工作日内联合 QA 完成清点验收，销售支持部在 ERP 系统录入退货单据；</w:t>
            </w:r>
          </w:p>
          <w:p w14:paraId="33A2014B">
            <w:pPr>
              <w:pStyle w:val="3"/>
              <w:numPr>
                <w:ilvl w:val="0"/>
                <w:numId w:val="13"/>
              </w:numPr>
              <w:ind w:left="425" w:leftChars="0" w:hanging="425" w:firstLineChars="0"/>
              <w:rPr>
                <w:rFonts w:hint="eastAsia"/>
                <w:lang w:val="en-US" w:eastAsia="zh-CN" w:bidi="ar"/>
              </w:rPr>
            </w:pPr>
            <w:r>
              <w:rPr>
                <w:rFonts w:hint="eastAsia"/>
                <w:lang w:val="en-US" w:eastAsia="zh-CN" w:bidi="ar"/>
              </w:rPr>
              <w:t>完成换货补发或退款操作后，销售跟进客户确认无异议，关闭飞书审批流程；QA 同步在台账登记记录；</w:t>
            </w:r>
          </w:p>
          <w:p w14:paraId="147AFEC5">
            <w:pPr>
              <w:pStyle w:val="3"/>
              <w:numPr>
                <w:ilvl w:val="0"/>
                <w:numId w:val="13"/>
              </w:numPr>
              <w:ind w:left="425" w:leftChars="0" w:hanging="425" w:firstLineChars="0"/>
              <w:rPr>
                <w:rFonts w:hint="eastAsia"/>
                <w:lang w:val="en-US" w:eastAsia="zh-CN" w:bidi="ar"/>
              </w:rPr>
            </w:pPr>
            <w:r>
              <w:rPr>
                <w:rFonts w:hint="eastAsia"/>
                <w:lang w:val="en-US" w:eastAsia="zh-CN" w:bidi="ar"/>
              </w:rPr>
              <w:t>审批未通过时，销售主动与客户沟通替代解决方案，持续跟进直至客户认可方案。</w:t>
            </w:r>
          </w:p>
          <w:p w14:paraId="1D6D2064">
            <w:pPr>
              <w:pStyle w:val="3"/>
              <w:bidi w:val="0"/>
              <w:rPr>
                <w:rFonts w:hint="eastAsia"/>
                <w:b/>
                <w:bCs w:val="0"/>
                <w:lang w:val="en-US" w:eastAsia="zh-CN"/>
              </w:rPr>
            </w:pPr>
            <w:r>
              <w:rPr>
                <w:rFonts w:hint="eastAsia"/>
                <w:b/>
                <w:bCs w:val="0"/>
                <w:lang w:val="en-US" w:eastAsia="zh-CN"/>
              </w:rPr>
              <w:t>质量类客诉标准处置流程（按分级优先级执行）</w:t>
            </w:r>
          </w:p>
          <w:p w14:paraId="132123B1">
            <w:pPr>
              <w:pStyle w:val="3"/>
              <w:numPr>
                <w:ilvl w:val="1"/>
                <w:numId w:val="0"/>
              </w:numPr>
              <w:ind w:leftChars="0" w:firstLine="440" w:firstLineChars="200"/>
              <w:rPr>
                <w:rFonts w:hint="eastAsia"/>
                <w:b/>
                <w:bCs w:val="0"/>
                <w:lang w:val="en-US" w:eastAsia="zh-CN" w:bidi="ar"/>
              </w:rPr>
            </w:pPr>
            <w:r>
              <w:rPr>
                <w:rFonts w:hint="eastAsia"/>
                <w:b/>
                <w:bCs w:val="0"/>
                <w:lang w:val="en-US" w:eastAsia="zh-CN" w:bidi="ar"/>
              </w:rPr>
              <w:t>步骤 1：前端信息收集与流程发起</w:t>
            </w:r>
          </w:p>
          <w:p w14:paraId="144513B1">
            <w:pPr>
              <w:pStyle w:val="3"/>
              <w:numPr>
                <w:ilvl w:val="0"/>
                <w:numId w:val="14"/>
              </w:numPr>
              <w:ind w:left="425" w:leftChars="0" w:hanging="425" w:firstLineChars="0"/>
              <w:rPr>
                <w:rFonts w:hint="eastAsia"/>
                <w:lang w:val="en-US" w:eastAsia="zh-CN" w:bidi="ar"/>
              </w:rPr>
            </w:pPr>
            <w:r>
              <w:rPr>
                <w:rFonts w:hint="eastAsia"/>
                <w:lang w:val="en-US" w:eastAsia="zh-CN" w:bidi="ar"/>
              </w:rPr>
              <w:t>销售接收客户投诉，完整登记客户信息、订单号、产品批次、受损数量、客户经济损失、客户书面诉求，收集客户检测报告、异常样品照片等佐证资料；</w:t>
            </w:r>
          </w:p>
          <w:p w14:paraId="2CA7C6AE">
            <w:pPr>
              <w:pStyle w:val="3"/>
              <w:numPr>
                <w:ilvl w:val="0"/>
                <w:numId w:val="14"/>
              </w:numPr>
              <w:ind w:left="425" w:leftChars="0" w:hanging="425" w:firstLineChars="0"/>
              <w:rPr>
                <w:rFonts w:hint="eastAsia"/>
                <w:lang w:val="en-US" w:eastAsia="zh-CN" w:bidi="ar"/>
              </w:rPr>
            </w:pPr>
            <w:r>
              <w:rPr>
                <w:rFonts w:hint="eastAsia"/>
                <w:lang w:val="en-US" w:eastAsia="zh-CN" w:bidi="ar"/>
              </w:rPr>
              <w:t>根据损失、风险判定客诉一 / 二 / 三级等级；</w:t>
            </w:r>
          </w:p>
          <w:p w14:paraId="1B284224">
            <w:pPr>
              <w:pStyle w:val="3"/>
              <w:numPr>
                <w:ilvl w:val="0"/>
                <w:numId w:val="14"/>
              </w:numPr>
              <w:ind w:left="425" w:leftChars="0" w:hanging="425" w:firstLineChars="0"/>
              <w:rPr>
                <w:rFonts w:hint="eastAsia"/>
                <w:lang w:val="en-US" w:eastAsia="zh-CN" w:bidi="ar"/>
              </w:rPr>
            </w:pPr>
            <w:commentRangeStart w:id="8"/>
            <w:r>
              <w:rPr>
                <w:rFonts w:hint="eastAsia"/>
                <w:lang w:val="en-US" w:eastAsia="zh-CN" w:bidi="ar"/>
              </w:rPr>
              <w:t>一级客诉 15 分钟、二级 30 分钟、三级 60 分钟内，飞书提交《客户反馈单》，同步创建钉钉专项沟通群，拉入 QA、生产 / 研发，性能类投诉追加技术支持部。</w:t>
            </w:r>
            <w:commentRangeEnd w:id="8"/>
            <w:r>
              <w:commentReference w:id="8"/>
            </w:r>
          </w:p>
          <w:p w14:paraId="556414CA">
            <w:pPr>
              <w:pStyle w:val="3"/>
              <w:numPr>
                <w:ilvl w:val="1"/>
                <w:numId w:val="0"/>
              </w:numPr>
              <w:ind w:leftChars="0" w:firstLine="440" w:firstLineChars="200"/>
              <w:rPr>
                <w:rFonts w:hint="eastAsia"/>
                <w:lang w:val="en-US" w:eastAsia="zh-CN" w:bidi="ar"/>
              </w:rPr>
            </w:pPr>
            <w:r>
              <w:rPr>
                <w:rFonts w:hint="eastAsia"/>
                <w:b/>
                <w:bCs w:val="0"/>
                <w:lang w:val="en-US" w:eastAsia="zh-CN" w:bidi="ar"/>
              </w:rPr>
              <w:t>步骤 2：内部自查与实验方案编制审核</w:t>
            </w:r>
          </w:p>
          <w:p w14:paraId="7539337F">
            <w:pPr>
              <w:pStyle w:val="3"/>
              <w:numPr>
                <w:ilvl w:val="0"/>
                <w:numId w:val="15"/>
              </w:numPr>
              <w:ind w:left="425" w:leftChars="0" w:hanging="425" w:firstLineChars="0"/>
              <w:rPr>
                <w:rFonts w:hint="eastAsia"/>
                <w:lang w:val="en-US" w:eastAsia="zh-CN" w:bidi="ar"/>
              </w:rPr>
            </w:pPr>
            <w:r>
              <w:rPr>
                <w:rFonts w:hint="eastAsia"/>
                <w:lang w:val="en-US" w:eastAsia="zh-CN" w:bidi="ar"/>
              </w:rPr>
              <w:t>备货部门时限：一级加急 1 个工作日、二级 1.5 个工作日输出《自查报告》；</w:t>
            </w:r>
          </w:p>
          <w:p w14:paraId="186FE34E">
            <w:pPr>
              <w:pStyle w:val="3"/>
              <w:numPr>
                <w:ilvl w:val="0"/>
                <w:numId w:val="15"/>
              </w:numPr>
              <w:ind w:left="425" w:leftChars="0" w:hanging="425" w:firstLineChars="0"/>
              <w:rPr>
                <w:rFonts w:hint="eastAsia"/>
                <w:lang w:val="en-US" w:eastAsia="zh-CN" w:bidi="ar"/>
              </w:rPr>
            </w:pPr>
            <w:r>
              <w:rPr>
                <w:rFonts w:hint="eastAsia"/>
                <w:lang w:val="en-US" w:eastAsia="zh-CN" w:bidi="ar"/>
              </w:rPr>
              <w:t>涉及性能异常同步编制《售后实验方案》，上传钉钉客诉群；</w:t>
            </w:r>
          </w:p>
          <w:p w14:paraId="11177D10">
            <w:pPr>
              <w:pStyle w:val="3"/>
              <w:numPr>
                <w:ilvl w:val="0"/>
                <w:numId w:val="15"/>
              </w:numPr>
              <w:ind w:left="425" w:leftChars="0" w:hanging="425" w:firstLineChars="0"/>
              <w:rPr>
                <w:rFonts w:hint="eastAsia"/>
                <w:lang w:val="en-US" w:eastAsia="zh-CN" w:bidi="ar"/>
              </w:rPr>
            </w:pPr>
            <w:r>
              <w:rPr>
                <w:rFonts w:hint="eastAsia"/>
                <w:lang w:val="en-US" w:eastAsia="zh-CN" w:bidi="ar"/>
              </w:rPr>
              <w:t>QA、技术支持审核时限：一级客诉即时审核；二级 0.5 个工作日；三级 1 个工作日内完成方案审批。</w:t>
            </w:r>
          </w:p>
          <w:p w14:paraId="666F393A">
            <w:pPr>
              <w:pStyle w:val="3"/>
              <w:numPr>
                <w:ilvl w:val="1"/>
                <w:numId w:val="0"/>
              </w:numPr>
              <w:ind w:leftChars="0" w:firstLine="440" w:firstLineChars="200"/>
              <w:rPr>
                <w:rFonts w:hint="eastAsia"/>
                <w:b/>
                <w:bCs w:val="0"/>
                <w:lang w:val="en-US" w:eastAsia="zh-CN" w:bidi="ar"/>
              </w:rPr>
            </w:pPr>
            <w:r>
              <w:rPr>
                <w:rFonts w:hint="eastAsia"/>
                <w:b/>
                <w:bCs w:val="0"/>
                <w:lang w:val="en-US" w:eastAsia="zh-CN" w:bidi="ar"/>
              </w:rPr>
              <w:t>步骤 3：验证实验执行</w:t>
            </w:r>
          </w:p>
          <w:p w14:paraId="25E56451">
            <w:pPr>
              <w:pStyle w:val="3"/>
              <w:numPr>
                <w:ilvl w:val="0"/>
                <w:numId w:val="16"/>
              </w:numPr>
              <w:ind w:left="425" w:leftChars="0" w:hanging="425" w:firstLineChars="0"/>
              <w:rPr>
                <w:rFonts w:hint="eastAsia"/>
                <w:lang w:val="en-US" w:eastAsia="zh-CN" w:bidi="ar"/>
              </w:rPr>
            </w:pPr>
            <w:r>
              <w:rPr>
                <w:rFonts w:hint="eastAsia"/>
                <w:lang w:val="en-US" w:eastAsia="zh-CN" w:bidi="ar"/>
              </w:rPr>
              <w:t>已转产产品由 QC 复测；未转产新品由研发自测；</w:t>
            </w:r>
          </w:p>
          <w:p w14:paraId="66550562">
            <w:pPr>
              <w:pStyle w:val="3"/>
              <w:numPr>
                <w:ilvl w:val="0"/>
                <w:numId w:val="16"/>
              </w:numPr>
              <w:ind w:left="425" w:leftChars="0" w:hanging="425" w:firstLineChars="0"/>
              <w:rPr>
                <w:rFonts w:hint="eastAsia"/>
                <w:lang w:val="en-US" w:eastAsia="zh-CN" w:bidi="ar"/>
              </w:rPr>
            </w:pPr>
            <w:r>
              <w:rPr>
                <w:rFonts w:hint="eastAsia"/>
                <w:lang w:val="en-US" w:eastAsia="zh-CN" w:bidi="ar"/>
              </w:rPr>
              <w:t>实验周期分级管控：一级 1 个工作日、二级 3 个工作日、三级常规 7 个工作日；需要加速及破坏性的实验以实验方案为准。</w:t>
            </w:r>
          </w:p>
          <w:p w14:paraId="50A5094F">
            <w:pPr>
              <w:pStyle w:val="3"/>
              <w:numPr>
                <w:ilvl w:val="0"/>
                <w:numId w:val="16"/>
              </w:numPr>
              <w:ind w:left="425" w:leftChars="0" w:hanging="425" w:firstLineChars="0"/>
              <w:rPr>
                <w:rFonts w:hint="eastAsia"/>
                <w:lang w:val="en-US" w:eastAsia="zh-CN" w:bidi="ar"/>
              </w:rPr>
            </w:pPr>
            <w:r>
              <w:rPr>
                <w:rFonts w:hint="eastAsia"/>
                <w:lang w:val="en-US" w:eastAsia="zh-CN" w:bidi="ar"/>
              </w:rPr>
              <w:t>实验全部完成后，备货部门出具脱敏版《售后实验报告》；</w:t>
            </w:r>
          </w:p>
          <w:p w14:paraId="5A5E5A12">
            <w:pPr>
              <w:pStyle w:val="3"/>
              <w:numPr>
                <w:ilvl w:val="0"/>
                <w:numId w:val="16"/>
              </w:numPr>
              <w:ind w:left="425" w:leftChars="0" w:hanging="425" w:firstLineChars="0"/>
              <w:rPr>
                <w:rFonts w:hint="eastAsia"/>
                <w:lang w:val="en-US" w:eastAsia="zh-CN" w:bidi="ar"/>
              </w:rPr>
            </w:pPr>
            <w:r>
              <w:rPr>
                <w:rFonts w:hint="eastAsia"/>
                <w:lang w:val="en-US" w:eastAsia="zh-CN" w:bidi="ar"/>
              </w:rPr>
              <w:t>单次实验未定位异常根因：技术支持同步客户当前验证结果并收集客户补充信息，QC / 研发结合客户反馈制定新一轮验证方案，方案、报告审批流程不变。</w:t>
            </w:r>
          </w:p>
          <w:p w14:paraId="072749BE">
            <w:pPr>
              <w:pStyle w:val="3"/>
              <w:numPr>
                <w:ilvl w:val="1"/>
                <w:numId w:val="0"/>
              </w:numPr>
              <w:ind w:leftChars="0" w:firstLine="440" w:firstLineChars="200"/>
              <w:rPr>
                <w:rFonts w:hint="eastAsia"/>
                <w:b/>
                <w:bCs w:val="0"/>
                <w:lang w:val="en-US" w:eastAsia="zh-CN" w:bidi="ar"/>
              </w:rPr>
            </w:pPr>
            <w:r>
              <w:rPr>
                <w:rFonts w:hint="eastAsia"/>
                <w:b/>
                <w:bCs w:val="0"/>
                <w:lang w:val="en-US" w:eastAsia="zh-CN" w:bidi="ar"/>
              </w:rPr>
              <w:t>步骤 4：报告审核、责任判定与客户沟通</w:t>
            </w:r>
          </w:p>
          <w:p w14:paraId="4FCE4CA4">
            <w:pPr>
              <w:pStyle w:val="3"/>
              <w:numPr>
                <w:ilvl w:val="0"/>
                <w:numId w:val="17"/>
              </w:numPr>
              <w:ind w:left="425" w:leftChars="0" w:hanging="425" w:firstLineChars="0"/>
              <w:rPr>
                <w:rFonts w:hint="eastAsia"/>
                <w:lang w:val="en-US" w:eastAsia="zh-CN" w:bidi="ar"/>
              </w:rPr>
            </w:pPr>
            <w:r>
              <w:rPr>
                <w:rFonts w:hint="eastAsia"/>
                <w:lang w:val="en-US" w:eastAsia="zh-CN" w:bidi="ar"/>
              </w:rPr>
              <w:t>《售后实验报告》钉钉群流转审核：一级客诉 0.5 个工作日、二 / 三级 1 个工作日内完成技术支持、QA 双审核；技术支持可根据客户沟通需求二次脱敏后对外发送；</w:t>
            </w:r>
          </w:p>
          <w:p w14:paraId="07B9B59E">
            <w:pPr>
              <w:pStyle w:val="3"/>
              <w:numPr>
                <w:ilvl w:val="0"/>
                <w:numId w:val="17"/>
              </w:numPr>
              <w:ind w:left="425" w:leftChars="0" w:hanging="425" w:firstLineChars="0"/>
              <w:rPr>
                <w:rFonts w:hint="eastAsia"/>
                <w:lang w:val="en-US" w:eastAsia="zh-CN" w:bidi="ar"/>
              </w:rPr>
            </w:pPr>
            <w:r>
              <w:rPr>
                <w:rFonts w:hint="eastAsia"/>
                <w:lang w:val="en-US" w:eastAsia="zh-CN" w:bidi="ar"/>
              </w:rPr>
              <w:t>三类实验结果对应处置方案：</w:t>
            </w:r>
          </w:p>
          <w:p w14:paraId="2D191831">
            <w:pPr>
              <w:pStyle w:val="3"/>
              <w:numPr>
                <w:ilvl w:val="0"/>
                <w:numId w:val="18"/>
              </w:numPr>
              <w:ind w:left="0" w:leftChars="0" w:firstLine="440" w:firstLineChars="200"/>
              <w:rPr>
                <w:rFonts w:hint="eastAsia"/>
                <w:lang w:val="en-US" w:eastAsia="zh-CN" w:bidi="ar"/>
              </w:rPr>
            </w:pPr>
            <w:r>
              <w:rPr>
                <w:rFonts w:hint="eastAsia"/>
                <w:lang w:val="en-US" w:eastAsia="zh-CN" w:bidi="ar"/>
              </w:rPr>
              <w:t>判定我方质量责任：责任部门编制《客户投诉调查表》，完成根因分析、制定纠正与预防措施（CAPA），经 QA、管理者代表审批后由销售同步客户；同步启动退换货补救，</w:t>
            </w:r>
            <w:commentRangeStart w:id="9"/>
            <w:r>
              <w:rPr>
                <w:rFonts w:hint="eastAsia"/>
                <w:lang w:val="en-US" w:eastAsia="zh-CN" w:bidi="ar"/>
              </w:rPr>
              <w:t>本次投诉产生全部成本由责任部门承担</w:t>
            </w:r>
            <w:commentRangeEnd w:id="9"/>
            <w:r>
              <w:commentReference w:id="9"/>
            </w:r>
            <w:r>
              <w:rPr>
                <w:rFonts w:hint="eastAsia"/>
                <w:lang w:val="en-US" w:eastAsia="zh-CN" w:bidi="ar"/>
              </w:rPr>
              <w:t xml:space="preserve">，QA 全程跟进整改落地直至闭环； </w:t>
            </w:r>
          </w:p>
          <w:p w14:paraId="15955F8A">
            <w:pPr>
              <w:pStyle w:val="3"/>
              <w:numPr>
                <w:ilvl w:val="0"/>
                <w:numId w:val="18"/>
              </w:numPr>
              <w:ind w:left="0" w:leftChars="0" w:firstLine="440" w:firstLineChars="200"/>
              <w:rPr>
                <w:rFonts w:hint="eastAsia"/>
                <w:lang w:val="en-US" w:eastAsia="zh-CN" w:bidi="ar"/>
              </w:rPr>
            </w:pPr>
            <w:r>
              <w:rPr>
                <w:rFonts w:hint="eastAsia"/>
                <w:lang w:val="en-US" w:eastAsia="zh-CN" w:bidi="ar"/>
              </w:rPr>
              <w:t xml:space="preserve">测试结果正常（双方检测 / 使用体系差异）：技术支持 3 个工作日内与客户开展技术解释，每周同步跟进进度；客户持续不认可则上调客诉等级，启动升级处置； </w:t>
            </w:r>
          </w:p>
          <w:p w14:paraId="7672B87C">
            <w:pPr>
              <w:pStyle w:val="3"/>
              <w:numPr>
                <w:ilvl w:val="0"/>
                <w:numId w:val="18"/>
              </w:numPr>
              <w:ind w:left="0" w:leftChars="0" w:firstLine="440" w:firstLineChars="200"/>
              <w:rPr>
                <w:rFonts w:hint="eastAsia"/>
                <w:lang w:val="en-US" w:eastAsia="zh-CN" w:bidi="ar"/>
              </w:rPr>
            </w:pPr>
            <w:r>
              <w:rPr>
                <w:rFonts w:hint="eastAsia"/>
                <w:lang w:val="en-US" w:eastAsia="zh-CN" w:bidi="ar"/>
              </w:rPr>
              <w:t>（判定技术改善类反馈：研发输出长期产品优化方案，技术支持向客户说明指标差异，单独建档跟踪，不计入客诉考核，内部跟进主体切换为技术支持部。</w:t>
            </w:r>
          </w:p>
          <w:p w14:paraId="7D2FE7EF">
            <w:pPr>
              <w:pStyle w:val="3"/>
              <w:numPr>
                <w:ilvl w:val="1"/>
                <w:numId w:val="0"/>
              </w:numPr>
              <w:ind w:leftChars="0" w:firstLine="220" w:firstLineChars="100"/>
              <w:rPr>
                <w:rFonts w:hint="eastAsia"/>
                <w:b/>
                <w:bCs w:val="0"/>
                <w:lang w:val="en-US" w:eastAsia="zh-CN" w:bidi="ar"/>
              </w:rPr>
            </w:pPr>
            <w:r>
              <w:rPr>
                <w:rFonts w:hint="eastAsia"/>
                <w:b/>
                <w:bCs w:val="0"/>
                <w:lang w:val="en-US" w:eastAsia="zh-CN" w:bidi="ar"/>
              </w:rPr>
              <w:t>步骤 5：退换货落地执行</w:t>
            </w:r>
          </w:p>
          <w:p w14:paraId="6B34FC33">
            <w:pPr>
              <w:bidi w:val="0"/>
              <w:rPr>
                <w:rFonts w:hint="eastAsia"/>
                <w:lang w:val="en-US" w:eastAsia="zh-CN"/>
              </w:rPr>
            </w:pPr>
            <w:r>
              <w:rPr>
                <w:rFonts w:hint="eastAsia"/>
                <w:lang w:val="en-US" w:eastAsia="zh-CN"/>
              </w:rPr>
              <w:t>退换货订单生产环节优先排产、优先出库；退回产品统一隔离存放，检验完成后分区入库管理，具体执行 5.4 章节标准。</w:t>
            </w:r>
          </w:p>
          <w:p w14:paraId="447054B6">
            <w:pPr>
              <w:pStyle w:val="3"/>
              <w:numPr>
                <w:ilvl w:val="1"/>
                <w:numId w:val="0"/>
              </w:numPr>
              <w:ind w:firstLine="220" w:firstLineChars="100"/>
              <w:rPr>
                <w:rFonts w:hint="eastAsia"/>
                <w:b/>
                <w:bCs w:val="0"/>
                <w:lang w:val="en-US" w:eastAsia="zh-CN" w:bidi="ar"/>
              </w:rPr>
            </w:pPr>
            <w:r>
              <w:rPr>
                <w:rFonts w:hint="eastAsia"/>
                <w:b/>
                <w:bCs w:val="0"/>
                <w:lang w:val="en-US" w:eastAsia="zh-CN" w:bidi="ar"/>
              </w:rPr>
              <w:t>步骤 6：分级升级处置</w:t>
            </w:r>
          </w:p>
          <w:p w14:paraId="37A9C742">
            <w:pPr>
              <w:pStyle w:val="3"/>
              <w:numPr>
                <w:ilvl w:val="1"/>
                <w:numId w:val="0"/>
              </w:numPr>
              <w:ind w:leftChars="0" w:firstLine="440" w:firstLineChars="200"/>
              <w:rPr>
                <w:rFonts w:hint="eastAsia"/>
                <w:lang w:val="en-US" w:eastAsia="zh-CN" w:bidi="ar"/>
              </w:rPr>
            </w:pPr>
            <w:r>
              <w:rPr>
                <w:rFonts w:hint="eastAsia"/>
                <w:lang w:val="en-US" w:eastAsia="zh-CN" w:bidi="ar"/>
              </w:rPr>
              <w:t>处置过程中客户不满、诉求升级、内部无法达成统一方案，按分级升级规则推送对应管理层介入，重新制定处置、补偿方案。</w:t>
            </w:r>
          </w:p>
          <w:p w14:paraId="4DE1B3AB">
            <w:pPr>
              <w:pStyle w:val="3"/>
              <w:numPr>
                <w:ilvl w:val="1"/>
                <w:numId w:val="0"/>
              </w:numPr>
              <w:ind w:leftChars="0" w:firstLine="440" w:firstLineChars="200"/>
              <w:rPr>
                <w:rFonts w:hint="eastAsia"/>
                <w:b/>
                <w:bCs w:val="0"/>
                <w:lang w:val="en-US" w:eastAsia="zh-CN" w:bidi="ar"/>
              </w:rPr>
            </w:pPr>
            <w:r>
              <w:rPr>
                <w:rFonts w:hint="eastAsia"/>
                <w:b/>
                <w:bCs w:val="0"/>
                <w:lang w:val="en-US" w:eastAsia="zh-CN" w:bidi="ar"/>
              </w:rPr>
              <w:t>步骤 7：双重闭环结案要求</w:t>
            </w:r>
          </w:p>
          <w:p w14:paraId="36919026">
            <w:pPr>
              <w:pStyle w:val="3"/>
              <w:numPr>
                <w:ilvl w:val="0"/>
                <w:numId w:val="19"/>
              </w:numPr>
              <w:ind w:left="425" w:leftChars="0" w:hanging="425" w:firstLineChars="0"/>
              <w:rPr>
                <w:rFonts w:hint="eastAsia"/>
                <w:lang w:val="en-US" w:eastAsia="zh-CN" w:bidi="ar"/>
              </w:rPr>
            </w:pPr>
            <w:r>
              <w:rPr>
                <w:rFonts w:hint="eastAsia"/>
                <w:lang w:val="en-US" w:eastAsia="zh-CN" w:bidi="ar"/>
              </w:rPr>
              <w:t>内部闭环（QA 管控）：自查报告、售后实验方案 / 报告、整改 CAPA、整改验证记录全部齐全，整改措施落地验证通过；</w:t>
            </w:r>
          </w:p>
          <w:p w14:paraId="4BA034C3">
            <w:pPr>
              <w:pStyle w:val="3"/>
              <w:numPr>
                <w:ilvl w:val="0"/>
                <w:numId w:val="19"/>
              </w:numPr>
              <w:ind w:left="425" w:leftChars="0" w:hanging="425" w:firstLineChars="0"/>
              <w:rPr>
                <w:rFonts w:hint="eastAsia"/>
                <w:lang w:val="en-US" w:eastAsia="zh-CN" w:bidi="ar"/>
              </w:rPr>
            </w:pPr>
            <w:r>
              <w:rPr>
                <w:rFonts w:hint="eastAsia"/>
                <w:lang w:val="en-US" w:eastAsia="zh-CN" w:bidi="ar"/>
              </w:rPr>
              <w:t>外部闭环（销售管控）：客户通过书面、线上消息确认接受处理方案，无任何异议；</w:t>
            </w:r>
          </w:p>
          <w:p w14:paraId="139E6981">
            <w:pPr>
              <w:pStyle w:val="3"/>
              <w:numPr>
                <w:ilvl w:val="0"/>
                <w:numId w:val="19"/>
              </w:numPr>
              <w:ind w:left="425" w:leftChars="0" w:hanging="425" w:firstLineChars="0"/>
              <w:rPr>
                <w:rFonts w:hint="eastAsia"/>
                <w:lang w:val="en-US" w:eastAsia="zh-CN" w:bidi="ar"/>
              </w:rPr>
            </w:pPr>
            <w:commentRangeStart w:id="10"/>
            <w:r>
              <w:rPr>
                <w:rFonts w:hint="eastAsia"/>
                <w:lang w:val="en-US" w:eastAsia="zh-CN" w:bidi="ar"/>
              </w:rPr>
              <w:t>内外双重闭环全部完成，QA 方可归档关闭客诉工单。</w:t>
            </w:r>
            <w:commentRangeEnd w:id="10"/>
            <w:r>
              <w:commentReference w:id="10"/>
            </w:r>
          </w:p>
          <w:p w14:paraId="08CB878D">
            <w:pPr>
              <w:pStyle w:val="3"/>
              <w:bidi w:val="0"/>
              <w:rPr>
                <w:rFonts w:hint="eastAsia"/>
                <w:b/>
                <w:bCs w:val="0"/>
                <w:lang w:val="en-US" w:eastAsia="zh-CN"/>
              </w:rPr>
            </w:pPr>
            <w:r>
              <w:rPr>
                <w:rFonts w:hint="eastAsia"/>
                <w:b/>
                <w:bCs w:val="0"/>
                <w:lang w:val="en-US" w:eastAsia="zh-CN"/>
              </w:rPr>
              <w:t>技术问题移交研发标准化流程</w:t>
            </w:r>
          </w:p>
          <w:p w14:paraId="429BF891">
            <w:pPr>
              <w:pStyle w:val="4"/>
              <w:bidi w:val="0"/>
              <w:rPr>
                <w:rFonts w:hint="eastAsia"/>
                <w:b/>
                <w:bCs/>
                <w:lang w:val="en-US" w:eastAsia="zh-CN"/>
              </w:rPr>
            </w:pPr>
            <w:r>
              <w:rPr>
                <w:rFonts w:hint="eastAsia"/>
                <w:b/>
                <w:bCs/>
                <w:lang w:val="en-US" w:eastAsia="zh-CN"/>
              </w:rPr>
              <w:t>移交前置判定条件（硬性要求）</w:t>
            </w:r>
          </w:p>
          <w:p w14:paraId="58F71088">
            <w:pPr>
              <w:pStyle w:val="3"/>
              <w:numPr>
                <w:ilvl w:val="1"/>
                <w:numId w:val="0"/>
              </w:numPr>
              <w:ind w:leftChars="0" w:firstLine="440" w:firstLineChars="200"/>
              <w:rPr>
                <w:rFonts w:hint="eastAsia"/>
                <w:lang w:val="en-US" w:eastAsia="zh-CN" w:bidi="ar"/>
              </w:rPr>
            </w:pPr>
            <w:r>
              <w:rPr>
                <w:rFonts w:hint="eastAsia"/>
                <w:lang w:val="en-US" w:eastAsia="zh-CN" w:bidi="ar"/>
              </w:rPr>
              <w:t>生产、QC、QA 完成留样复测、退回样品检验、生产过程复盘、多轮售后实验验证；由 QA 组织销售、研发、技术支持、分管副总开展跨部门评审，出具完整书面验证报告，方可判定移交研发；无全套验证资料禁止口头移交。</w:t>
            </w:r>
          </w:p>
          <w:p w14:paraId="526C947C">
            <w:pPr>
              <w:pStyle w:val="3"/>
              <w:numPr>
                <w:ilvl w:val="1"/>
                <w:numId w:val="0"/>
              </w:numPr>
              <w:ind w:leftChars="0"/>
              <w:rPr>
                <w:rFonts w:hint="eastAsia"/>
                <w:b/>
                <w:bCs w:val="0"/>
                <w:lang w:val="en-US" w:eastAsia="zh-CN" w:bidi="ar"/>
              </w:rPr>
            </w:pPr>
            <w:r>
              <w:rPr>
                <w:rFonts w:hint="eastAsia"/>
                <w:b/>
                <w:bCs w:val="0"/>
                <w:lang w:val="en-US" w:eastAsia="zh-CN" w:bidi="ar"/>
              </w:rPr>
              <w:t>5.3.2 细分两类移交处置流程</w:t>
            </w:r>
          </w:p>
          <w:p w14:paraId="595A496F">
            <w:pPr>
              <w:pStyle w:val="3"/>
              <w:numPr>
                <w:ilvl w:val="1"/>
                <w:numId w:val="0"/>
              </w:numPr>
              <w:ind w:leftChars="0"/>
              <w:rPr>
                <w:rFonts w:hint="eastAsia"/>
                <w:b/>
                <w:bCs w:val="0"/>
                <w:lang w:val="en-US" w:eastAsia="zh-CN" w:bidi="ar"/>
              </w:rPr>
            </w:pPr>
            <w:r>
              <w:rPr>
                <w:rFonts w:hint="eastAsia"/>
                <w:b/>
                <w:bCs w:val="0"/>
                <w:lang w:val="en-US" w:eastAsia="zh-CN" w:bidi="ar"/>
              </w:rPr>
              <w:t>5.3.2.1 移交类型一：研发设计缺陷类质量投诉（计入投诉率，公司全责）</w:t>
            </w:r>
          </w:p>
          <w:p w14:paraId="40D15982">
            <w:pPr>
              <w:pStyle w:val="3"/>
              <w:numPr>
                <w:ilvl w:val="0"/>
                <w:numId w:val="20"/>
              </w:numPr>
              <w:ind w:left="425" w:leftChars="0" w:hanging="425" w:firstLineChars="0"/>
              <w:rPr>
                <w:rFonts w:hint="eastAsia"/>
                <w:lang w:val="en-US" w:eastAsia="zh-CN" w:bidi="ar"/>
              </w:rPr>
            </w:pPr>
            <w:r>
              <w:rPr>
                <w:rFonts w:hint="eastAsia"/>
                <w:lang w:val="en-US" w:eastAsia="zh-CN" w:bidi="ar"/>
              </w:rPr>
              <w:t>多层验证定性：生产、QC、QA 多轮复测确认产品设计存在固有缺陷、出厂标准存在漏洞，属于公司质量责任；生产汇总全部验证资料邮件发送研发，QA 组织跨部门评审会议。</w:t>
            </w:r>
          </w:p>
          <w:p w14:paraId="7B051C24">
            <w:pPr>
              <w:pStyle w:val="3"/>
              <w:numPr>
                <w:ilvl w:val="0"/>
                <w:numId w:val="20"/>
              </w:numPr>
              <w:ind w:left="425" w:leftChars="0" w:hanging="425" w:firstLineChars="0"/>
              <w:rPr>
                <w:rFonts w:hint="eastAsia"/>
                <w:lang w:val="en-US" w:eastAsia="zh-CN" w:bidi="ar"/>
              </w:rPr>
            </w:pPr>
            <w:r>
              <w:rPr>
                <w:rFonts w:hint="eastAsia"/>
                <w:lang w:val="en-US" w:eastAsia="zh-CN" w:bidi="ar"/>
              </w:rPr>
              <w:t>工单与台账更新：QA 维持工单分类为质量客诉，台账正常统计投诉率；飞书反馈单备注根因为 “研发设计缺陷”，变更主责部门为研发部，钉钉群同步更新责任主体。</w:t>
            </w:r>
          </w:p>
          <w:p w14:paraId="22A5690A">
            <w:pPr>
              <w:pStyle w:val="3"/>
              <w:numPr>
                <w:ilvl w:val="0"/>
                <w:numId w:val="20"/>
              </w:numPr>
              <w:ind w:left="425" w:leftChars="0" w:hanging="425" w:firstLineChars="0"/>
              <w:rPr>
                <w:rFonts w:hint="eastAsia"/>
                <w:lang w:val="en-US" w:eastAsia="zh-CN" w:bidi="ar"/>
              </w:rPr>
            </w:pPr>
            <w:r>
              <w:rPr>
                <w:rFonts w:hint="eastAsia"/>
                <w:lang w:val="en-US" w:eastAsia="zh-CN" w:bidi="ar"/>
              </w:rPr>
              <w:t xml:space="preserve">研发整改与验证 </w:t>
            </w:r>
          </w:p>
          <w:p w14:paraId="41B84E02">
            <w:pPr>
              <w:pStyle w:val="3"/>
              <w:numPr>
                <w:ilvl w:val="0"/>
                <w:numId w:val="21"/>
              </w:numPr>
              <w:ind w:left="0" w:leftChars="0" w:firstLine="440" w:firstLineChars="200"/>
              <w:rPr>
                <w:rFonts w:hint="eastAsia"/>
                <w:lang w:val="en-US" w:eastAsia="zh-CN" w:bidi="ar"/>
              </w:rPr>
            </w:pPr>
            <w:commentRangeStart w:id="11"/>
            <w:r>
              <w:rPr>
                <w:rFonts w:hint="eastAsia"/>
                <w:lang w:val="en-US" w:eastAsia="zh-CN" w:bidi="ar"/>
              </w:rPr>
              <w:t>研发 1 个工作日内完成根因分析</w:t>
            </w:r>
            <w:commentRangeEnd w:id="11"/>
            <w:r>
              <w:commentReference w:id="11"/>
            </w:r>
            <w:r>
              <w:rPr>
                <w:rFonts w:hint="eastAsia"/>
                <w:lang w:val="en-US" w:eastAsia="zh-CN" w:bidi="ar"/>
              </w:rPr>
              <w:t xml:space="preserve">，输出短期应急纠正措施 + 长期设计优化预防措施； </w:t>
            </w:r>
          </w:p>
          <w:p w14:paraId="41E3B1BB">
            <w:pPr>
              <w:pStyle w:val="3"/>
              <w:numPr>
                <w:ilvl w:val="0"/>
                <w:numId w:val="21"/>
              </w:numPr>
              <w:ind w:left="0" w:leftChars="0" w:firstLine="440" w:firstLineChars="200"/>
              <w:rPr>
                <w:rFonts w:hint="eastAsia"/>
                <w:lang w:val="en-US" w:eastAsia="zh-CN" w:bidi="ar"/>
              </w:rPr>
            </w:pPr>
            <w:r>
              <w:rPr>
                <w:rFonts w:hint="eastAsia"/>
                <w:lang w:val="en-US" w:eastAsia="zh-CN" w:bidi="ar"/>
              </w:rPr>
              <w:t xml:space="preserve">制定整改验证方案，QA 全程监督整改落地执行； </w:t>
            </w:r>
          </w:p>
          <w:p w14:paraId="1BDFD786">
            <w:pPr>
              <w:pStyle w:val="3"/>
              <w:numPr>
                <w:ilvl w:val="0"/>
                <w:numId w:val="21"/>
              </w:numPr>
              <w:ind w:left="0" w:leftChars="0" w:firstLine="440" w:firstLineChars="200"/>
              <w:rPr>
                <w:rFonts w:hint="eastAsia"/>
                <w:lang w:val="en-US" w:eastAsia="zh-CN" w:bidi="ar"/>
              </w:rPr>
            </w:pPr>
            <w:r>
              <w:rPr>
                <w:rFonts w:hint="eastAsia"/>
                <w:lang w:val="en-US" w:eastAsia="zh-CN" w:bidi="ar"/>
              </w:rPr>
              <w:t>整改验证完成后出具《整改报告》，经技术支持、QA、管理者代表多级审核。</w:t>
            </w:r>
          </w:p>
          <w:p w14:paraId="6DD4FDC9">
            <w:pPr>
              <w:pStyle w:val="3"/>
              <w:numPr>
                <w:ilvl w:val="0"/>
                <w:numId w:val="20"/>
              </w:numPr>
              <w:ind w:left="425" w:leftChars="0" w:hanging="425" w:firstLineChars="0"/>
              <w:rPr>
                <w:rFonts w:hint="eastAsia"/>
                <w:lang w:val="en-US" w:eastAsia="zh-CN" w:bidi="ar"/>
              </w:rPr>
            </w:pPr>
            <w:r>
              <w:rPr>
                <w:rFonts w:hint="eastAsia"/>
                <w:lang w:val="en-US" w:eastAsia="zh-CN" w:bidi="ar"/>
              </w:rPr>
              <w:t xml:space="preserve">客户沟通与补救 </w:t>
            </w:r>
          </w:p>
          <w:p w14:paraId="76BCB1EC">
            <w:pPr>
              <w:pStyle w:val="3"/>
              <w:numPr>
                <w:ilvl w:val="0"/>
                <w:numId w:val="22"/>
              </w:numPr>
              <w:ind w:left="0" w:leftChars="0" w:firstLine="440" w:firstLineChars="200"/>
              <w:rPr>
                <w:rFonts w:hint="eastAsia"/>
                <w:lang w:val="en-US" w:eastAsia="zh-CN" w:bidi="ar"/>
              </w:rPr>
            </w:pPr>
            <w:r>
              <w:rPr>
                <w:rFonts w:hint="eastAsia"/>
                <w:lang w:val="en-US" w:eastAsia="zh-CN" w:bidi="ar"/>
              </w:rPr>
              <w:t xml:space="preserve">销售结合正式整改报告向客户致歉，同步整改方案、优化落地周期； </w:t>
            </w:r>
          </w:p>
          <w:p w14:paraId="3729771C">
            <w:pPr>
              <w:pStyle w:val="3"/>
              <w:numPr>
                <w:ilvl w:val="0"/>
                <w:numId w:val="22"/>
              </w:numPr>
              <w:ind w:left="0" w:leftChars="0" w:firstLine="440" w:firstLineChars="200"/>
              <w:rPr>
                <w:rFonts w:hint="eastAsia"/>
                <w:lang w:val="en-US" w:eastAsia="zh-CN" w:bidi="ar"/>
              </w:rPr>
            </w:pPr>
            <w:r>
              <w:rPr>
                <w:rFonts w:hint="eastAsia"/>
                <w:lang w:val="en-US" w:eastAsia="zh-CN" w:bidi="ar"/>
              </w:rPr>
              <w:t xml:space="preserve">客户提出换货、补货、索赔需求，统一按 5.4 退换货审批流程执行； </w:t>
            </w:r>
          </w:p>
          <w:p w14:paraId="746750DC">
            <w:pPr>
              <w:pStyle w:val="3"/>
              <w:numPr>
                <w:ilvl w:val="0"/>
                <w:numId w:val="22"/>
              </w:numPr>
              <w:ind w:left="0" w:leftChars="0" w:firstLine="440" w:firstLineChars="200"/>
              <w:rPr>
                <w:rFonts w:hint="eastAsia"/>
                <w:lang w:val="en-US" w:eastAsia="zh-CN" w:bidi="ar"/>
              </w:rPr>
            </w:pPr>
            <w:r>
              <w:rPr>
                <w:rFonts w:hint="eastAsia"/>
                <w:lang w:val="en-US" w:eastAsia="zh-CN" w:bidi="ar"/>
              </w:rPr>
              <w:t>技术支持同步提供临时替代产品 / 方案，降低客户生产损失。</w:t>
            </w:r>
          </w:p>
          <w:p w14:paraId="5931D13E">
            <w:pPr>
              <w:pStyle w:val="3"/>
              <w:numPr>
                <w:ilvl w:val="0"/>
                <w:numId w:val="20"/>
              </w:numPr>
              <w:ind w:left="425" w:leftChars="0" w:hanging="425" w:firstLineChars="0"/>
              <w:rPr>
                <w:rFonts w:hint="eastAsia"/>
                <w:lang w:val="en-US" w:eastAsia="zh-CN" w:bidi="ar"/>
              </w:rPr>
            </w:pPr>
            <w:r>
              <w:rPr>
                <w:rFonts w:hint="eastAsia"/>
                <w:lang w:val="en-US" w:eastAsia="zh-CN" w:bidi="ar"/>
              </w:rPr>
              <w:t>双重闭环结案</w:t>
            </w:r>
          </w:p>
          <w:p w14:paraId="09732E91">
            <w:pPr>
              <w:pStyle w:val="3"/>
              <w:numPr>
                <w:ilvl w:val="0"/>
                <w:numId w:val="23"/>
              </w:numPr>
              <w:ind w:left="0" w:leftChars="0" w:firstLine="440" w:firstLineChars="200"/>
              <w:rPr>
                <w:rFonts w:hint="eastAsia"/>
                <w:lang w:val="en-US" w:eastAsia="zh-CN" w:bidi="ar"/>
              </w:rPr>
            </w:pPr>
            <w:r>
              <w:rPr>
                <w:rFonts w:hint="eastAsia"/>
                <w:lang w:val="en-US" w:eastAsia="zh-CN" w:bidi="ar"/>
              </w:rPr>
              <w:t xml:space="preserve">内部闭环：研发整改验证完成、全套 CAPA 资料归档齐全； </w:t>
            </w:r>
          </w:p>
          <w:p w14:paraId="494156A1">
            <w:pPr>
              <w:pStyle w:val="3"/>
              <w:numPr>
                <w:ilvl w:val="0"/>
                <w:numId w:val="23"/>
              </w:numPr>
              <w:ind w:left="0" w:leftChars="0" w:firstLine="440" w:firstLineChars="200"/>
              <w:rPr>
                <w:rFonts w:hint="eastAsia"/>
                <w:lang w:val="en-US" w:eastAsia="zh-CN" w:bidi="ar"/>
              </w:rPr>
            </w:pPr>
            <w:r>
              <w:rPr>
                <w:rFonts w:hint="eastAsia"/>
                <w:lang w:val="en-US" w:eastAsia="zh-CN" w:bidi="ar"/>
              </w:rPr>
              <w:t>外部闭环：客户认可整改方案及补偿补救措施；两项闭环完成后方可结案归档。</w:t>
            </w:r>
          </w:p>
          <w:p w14:paraId="250AA99E">
            <w:pPr>
              <w:pStyle w:val="3"/>
              <w:numPr>
                <w:ilvl w:val="1"/>
                <w:numId w:val="0"/>
              </w:numPr>
              <w:ind w:leftChars="0"/>
              <w:rPr>
                <w:rFonts w:hint="eastAsia"/>
                <w:b/>
                <w:bCs w:val="0"/>
                <w:lang w:val="en-US" w:eastAsia="zh-CN" w:bidi="ar"/>
              </w:rPr>
            </w:pPr>
            <w:r>
              <w:rPr>
                <w:rFonts w:hint="eastAsia"/>
                <w:b/>
                <w:bCs w:val="0"/>
                <w:lang w:val="en-US" w:eastAsia="zh-CN" w:bidi="ar"/>
              </w:rPr>
              <w:t>5.3.2.2 移交类型二：技术改善类反馈（不计入投诉率）</w:t>
            </w:r>
          </w:p>
          <w:p w14:paraId="57E0F365">
            <w:pPr>
              <w:pStyle w:val="3"/>
              <w:numPr>
                <w:ilvl w:val="0"/>
                <w:numId w:val="24"/>
              </w:numPr>
              <w:ind w:left="425" w:leftChars="0" w:hanging="425" w:firstLineChars="0"/>
              <w:rPr>
                <w:rFonts w:hint="eastAsia"/>
                <w:lang w:val="en-US" w:eastAsia="zh-CN" w:bidi="ar"/>
              </w:rPr>
            </w:pPr>
            <w:r>
              <w:rPr>
                <w:rFonts w:hint="eastAsia"/>
                <w:lang w:val="en-US" w:eastAsia="zh-CN" w:bidi="ar"/>
              </w:rPr>
              <w:t xml:space="preserve">多层验证资料输出 </w:t>
            </w:r>
          </w:p>
          <w:p w14:paraId="4C94D292">
            <w:pPr>
              <w:pStyle w:val="3"/>
              <w:numPr>
                <w:ilvl w:val="0"/>
                <w:numId w:val="25"/>
              </w:numPr>
              <w:ind w:left="0" w:leftChars="0" w:firstLine="440" w:firstLineChars="200"/>
              <w:rPr>
                <w:rFonts w:hint="eastAsia"/>
                <w:lang w:val="en-US" w:eastAsia="zh-CN" w:bidi="ar"/>
              </w:rPr>
            </w:pPr>
            <w:r>
              <w:rPr>
                <w:rFonts w:hint="eastAsia"/>
                <w:lang w:val="en-US" w:eastAsia="zh-CN" w:bidi="ar"/>
              </w:rPr>
              <w:t xml:space="preserve">生产出具《自查报告》、全流程验证原始数据；QC 完成退货样品复测（如有退货）； </w:t>
            </w:r>
          </w:p>
          <w:p w14:paraId="6AA26A8E">
            <w:pPr>
              <w:pStyle w:val="3"/>
              <w:numPr>
                <w:ilvl w:val="0"/>
                <w:numId w:val="25"/>
              </w:numPr>
              <w:ind w:left="0" w:leftChars="0" w:firstLine="440" w:firstLineChars="200"/>
              <w:rPr>
                <w:rFonts w:hint="eastAsia"/>
                <w:lang w:val="en-US" w:eastAsia="zh-CN" w:bidi="ar"/>
              </w:rPr>
            </w:pPr>
            <w:commentRangeStart w:id="12"/>
            <w:r>
              <w:rPr>
                <w:rFonts w:hint="eastAsia"/>
                <w:lang w:val="en-US" w:eastAsia="zh-CN" w:bidi="ar"/>
              </w:rPr>
              <w:t>生产提前 2 个工作日</w:t>
            </w:r>
            <w:commentRangeEnd w:id="12"/>
            <w:r>
              <w:commentReference w:id="12"/>
            </w:r>
            <w:r>
              <w:rPr>
                <w:rFonts w:hint="eastAsia"/>
                <w:lang w:val="en-US" w:eastAsia="zh-CN" w:bidi="ar"/>
              </w:rPr>
              <w:t xml:space="preserve">将全套《售后实验方案》《售后实验报告》、进度结论邮件发送研发部； </w:t>
            </w:r>
          </w:p>
          <w:p w14:paraId="3FB0C4FF">
            <w:pPr>
              <w:pStyle w:val="3"/>
              <w:numPr>
                <w:ilvl w:val="0"/>
                <w:numId w:val="25"/>
              </w:numPr>
              <w:ind w:left="0" w:leftChars="0" w:firstLine="440" w:firstLineChars="200"/>
              <w:rPr>
                <w:rFonts w:hint="eastAsia"/>
                <w:lang w:val="en-US" w:eastAsia="zh-CN" w:bidi="ar"/>
              </w:rPr>
            </w:pPr>
            <w:r>
              <w:rPr>
                <w:rFonts w:hint="eastAsia"/>
                <w:lang w:val="en-US" w:eastAsia="zh-CN" w:bidi="ar"/>
              </w:rPr>
              <w:t>QA 组织生产、QC、技术支持、研发跨部门评审，统一结论：产品符合出厂标准，问题仅为客户场景适配优化需求，正式移交研发。</w:t>
            </w:r>
          </w:p>
          <w:p w14:paraId="3284929E">
            <w:pPr>
              <w:pStyle w:val="3"/>
              <w:numPr>
                <w:ilvl w:val="0"/>
                <w:numId w:val="24"/>
              </w:numPr>
              <w:ind w:left="425" w:leftChars="0" w:hanging="425" w:firstLineChars="0"/>
              <w:rPr>
                <w:rFonts w:hint="eastAsia"/>
                <w:lang w:val="en-US" w:eastAsia="zh-CN" w:bidi="ar"/>
              </w:rPr>
            </w:pPr>
            <w:r>
              <w:rPr>
                <w:rFonts w:hint="eastAsia"/>
                <w:lang w:val="en-US" w:eastAsia="zh-CN" w:bidi="ar"/>
              </w:rPr>
              <w:t xml:space="preserve">研发立项评估（3 个工作日内输出结论） </w:t>
            </w:r>
          </w:p>
          <w:p w14:paraId="0010427F">
            <w:pPr>
              <w:pStyle w:val="3"/>
              <w:numPr>
                <w:ilvl w:val="0"/>
                <w:numId w:val="26"/>
              </w:numPr>
              <w:ind w:left="0" w:leftChars="0" w:firstLine="440" w:firstLineChars="200"/>
              <w:rPr>
                <w:rFonts w:hint="eastAsia"/>
                <w:lang w:val="en-US" w:eastAsia="zh-CN" w:bidi="ar"/>
              </w:rPr>
            </w:pPr>
            <w:r>
              <w:rPr>
                <w:rFonts w:hint="eastAsia"/>
                <w:lang w:val="en-US" w:eastAsia="zh-CN" w:bidi="ar"/>
              </w:rPr>
              <w:t xml:space="preserve">可立项优化：输出产品迭代、配方调整方案、项目周期、阶段性验证计划； </w:t>
            </w:r>
          </w:p>
          <w:p w14:paraId="4AE92658">
            <w:pPr>
              <w:pStyle w:val="3"/>
              <w:numPr>
                <w:ilvl w:val="0"/>
                <w:numId w:val="26"/>
              </w:numPr>
              <w:ind w:left="0" w:leftChars="0" w:firstLine="440" w:firstLineChars="200"/>
              <w:rPr>
                <w:rFonts w:hint="eastAsia"/>
                <w:lang w:val="en-US" w:eastAsia="zh-CN" w:bidi="ar"/>
              </w:rPr>
            </w:pPr>
            <w:r>
              <w:rPr>
                <w:rFonts w:hint="eastAsia"/>
                <w:lang w:val="en-US" w:eastAsia="zh-CN" w:bidi="ar"/>
              </w:rPr>
              <w:t xml:space="preserve">暂不立项优化：优化投入成本远高于客户订单收益、仅小众特殊使用场景；研发出具评估说明，经技术负责人审批后交由 QA 存档。 </w:t>
            </w:r>
          </w:p>
          <w:p w14:paraId="731BCE89">
            <w:pPr>
              <w:pStyle w:val="3"/>
              <w:numPr>
                <w:ilvl w:val="0"/>
                <w:numId w:val="26"/>
              </w:numPr>
              <w:ind w:left="0" w:leftChars="0" w:firstLine="440" w:firstLineChars="200"/>
              <w:rPr>
                <w:rFonts w:hint="eastAsia"/>
                <w:lang w:val="en-US" w:eastAsia="zh-CN" w:bidi="ar"/>
              </w:rPr>
            </w:pPr>
            <w:r>
              <w:rPr>
                <w:rFonts w:hint="eastAsia"/>
                <w:lang w:val="en-US" w:eastAsia="zh-CN" w:bidi="ar"/>
              </w:rPr>
              <w:t>长期跟进主体：技术支持部。</w:t>
            </w:r>
          </w:p>
          <w:p w14:paraId="6B93A6DC">
            <w:pPr>
              <w:pStyle w:val="3"/>
              <w:numPr>
                <w:ilvl w:val="0"/>
                <w:numId w:val="24"/>
              </w:numPr>
              <w:ind w:left="425" w:leftChars="0" w:hanging="425" w:firstLineChars="0"/>
              <w:rPr>
                <w:rFonts w:hint="eastAsia"/>
                <w:lang w:val="en-US" w:eastAsia="zh-CN" w:bidi="ar"/>
              </w:rPr>
            </w:pPr>
            <w:r>
              <w:rPr>
                <w:rFonts w:hint="eastAsia"/>
                <w:lang w:val="en-US" w:eastAsia="zh-CN" w:bidi="ar"/>
              </w:rPr>
              <w:t xml:space="preserve">工单、台账分类调整 </w:t>
            </w:r>
          </w:p>
          <w:p w14:paraId="01C4BF1C">
            <w:pPr>
              <w:pStyle w:val="3"/>
              <w:numPr>
                <w:ilvl w:val="0"/>
                <w:numId w:val="27"/>
              </w:numPr>
              <w:ind w:left="0" w:leftChars="0" w:firstLine="440" w:firstLineChars="200"/>
              <w:rPr>
                <w:rFonts w:hint="eastAsia"/>
                <w:lang w:val="en-US" w:eastAsia="zh-CN" w:bidi="ar"/>
              </w:rPr>
            </w:pPr>
            <w:r>
              <w:rPr>
                <w:rFonts w:hint="eastAsia"/>
                <w:lang w:val="en-US" w:eastAsia="zh-CN" w:bidi="ar"/>
              </w:rPr>
              <w:t xml:space="preserve">QA 修改飞书《客户反馈单》分类为 “技术改善类”，备注移交原因； </w:t>
            </w:r>
          </w:p>
          <w:p w14:paraId="5D336300">
            <w:pPr>
              <w:pStyle w:val="3"/>
              <w:numPr>
                <w:ilvl w:val="0"/>
                <w:numId w:val="27"/>
              </w:numPr>
              <w:ind w:left="0" w:leftChars="0" w:firstLine="440" w:firstLineChars="200"/>
              <w:rPr>
                <w:rFonts w:hint="eastAsia"/>
                <w:lang w:val="en-US" w:eastAsia="zh-CN" w:bidi="ar"/>
              </w:rPr>
            </w:pPr>
            <w:r>
              <w:rPr>
                <w:rFonts w:hint="eastAsia"/>
                <w:lang w:val="en-US" w:eastAsia="zh-CN" w:bidi="ar"/>
              </w:rPr>
              <w:t>《客户投诉台账》单独标记该类反馈、移交研发日期、研发对接人，不参与月度投诉率计算。</w:t>
            </w:r>
          </w:p>
          <w:p w14:paraId="7543C905">
            <w:pPr>
              <w:pStyle w:val="3"/>
              <w:numPr>
                <w:ilvl w:val="0"/>
                <w:numId w:val="24"/>
              </w:numPr>
              <w:ind w:left="425" w:leftChars="0" w:hanging="425" w:firstLineChars="0"/>
              <w:rPr>
                <w:rFonts w:hint="eastAsia"/>
                <w:lang w:val="en-US" w:eastAsia="zh-CN" w:bidi="ar"/>
              </w:rPr>
            </w:pPr>
            <w:r>
              <w:rPr>
                <w:rFonts w:hint="eastAsia"/>
                <w:lang w:val="en-US" w:eastAsia="zh-CN" w:bidi="ar"/>
              </w:rPr>
              <w:t xml:space="preserve">客户分层跟进与闭环条件 </w:t>
            </w:r>
          </w:p>
          <w:p w14:paraId="31374D7E">
            <w:pPr>
              <w:pStyle w:val="3"/>
              <w:numPr>
                <w:ilvl w:val="0"/>
                <w:numId w:val="28"/>
              </w:numPr>
              <w:ind w:left="0" w:leftChars="0" w:firstLine="440" w:firstLineChars="200"/>
              <w:rPr>
                <w:rFonts w:hint="eastAsia"/>
                <w:lang w:val="en-US" w:eastAsia="zh-CN" w:bidi="ar"/>
              </w:rPr>
            </w:pPr>
            <w:r>
              <w:rPr>
                <w:rFonts w:hint="eastAsia"/>
                <w:lang w:val="en-US" w:eastAsia="zh-CN" w:bidi="ar"/>
              </w:rPr>
              <w:t>短期客户安抚、临时替代方案对接：销售全程负责；</w:t>
            </w:r>
          </w:p>
          <w:p w14:paraId="0CB13CD8">
            <w:pPr>
              <w:pStyle w:val="3"/>
              <w:numPr>
                <w:ilvl w:val="0"/>
                <w:numId w:val="28"/>
              </w:numPr>
              <w:ind w:left="0" w:leftChars="0" w:firstLine="440" w:firstLineChars="200"/>
              <w:rPr>
                <w:rFonts w:hint="eastAsia"/>
                <w:lang w:val="en-US" w:eastAsia="zh-CN" w:bidi="ar"/>
              </w:rPr>
            </w:pPr>
            <w:r>
              <w:rPr>
                <w:rFonts w:hint="eastAsia"/>
                <w:lang w:val="en-US" w:eastAsia="zh-CN" w:bidi="ar"/>
              </w:rPr>
              <w:t>长期产品迭代落地跟踪：研发为主、技术支持同步向客户同步进度；</w:t>
            </w:r>
          </w:p>
          <w:p w14:paraId="1B9BB4A1">
            <w:pPr>
              <w:pStyle w:val="3"/>
              <w:numPr>
                <w:ilvl w:val="0"/>
                <w:numId w:val="28"/>
              </w:numPr>
              <w:ind w:left="0" w:leftChars="0" w:firstLine="440" w:firstLineChars="200"/>
              <w:rPr>
                <w:rFonts w:hint="eastAsia"/>
                <w:lang w:val="en-US" w:eastAsia="zh-CN" w:bidi="ar"/>
              </w:rPr>
            </w:pPr>
            <w:r>
              <w:rPr>
                <w:rFonts w:hint="eastAsia"/>
                <w:lang w:val="en-US" w:eastAsia="zh-CN" w:bidi="ar"/>
              </w:rPr>
              <w:t>满足任一条件即可闭环： ①研发完成产品优化、小试验证通过，客户确认新版本满足使用需求； ②技术负责人评估不予立项，客户完全接受现有解释与临时方案，无后续异议。</w:t>
            </w:r>
          </w:p>
          <w:p w14:paraId="5DEBC8FD">
            <w:pPr>
              <w:pStyle w:val="3"/>
              <w:numPr>
                <w:ilvl w:val="0"/>
                <w:numId w:val="24"/>
              </w:numPr>
              <w:ind w:left="425" w:leftChars="0" w:hanging="425" w:firstLineChars="0"/>
              <w:rPr>
                <w:rFonts w:hint="eastAsia"/>
                <w:lang w:val="en-US" w:eastAsia="zh-CN" w:bidi="ar"/>
              </w:rPr>
            </w:pPr>
            <w:r>
              <w:rPr>
                <w:rFonts w:hint="eastAsia"/>
                <w:lang w:val="en-US" w:eastAsia="zh-CN" w:bidi="ar"/>
              </w:rPr>
              <w:t>资料归档：QA 统一归集自查报告、实验全套资料、研发立项 / 评估文件、客户沟通记录，单独归档，档案名称标注 “技术改善类” 区分。</w:t>
            </w:r>
          </w:p>
          <w:p w14:paraId="0BF4A357">
            <w:pPr>
              <w:pStyle w:val="3"/>
              <w:numPr>
                <w:ilvl w:val="1"/>
                <w:numId w:val="0"/>
              </w:numPr>
              <w:ind w:leftChars="0"/>
              <w:rPr>
                <w:rFonts w:hint="eastAsia"/>
                <w:b/>
                <w:bCs w:val="0"/>
                <w:lang w:val="en-US" w:eastAsia="zh-CN" w:bidi="ar"/>
              </w:rPr>
            </w:pPr>
            <w:r>
              <w:rPr>
                <w:rFonts w:hint="eastAsia"/>
                <w:b/>
                <w:bCs w:val="0"/>
                <w:lang w:val="en-US" w:eastAsia="zh-CN" w:bidi="ar"/>
              </w:rPr>
              <w:t>5.3.3 移交研发管控硬性要求</w:t>
            </w:r>
          </w:p>
          <w:p w14:paraId="34EF9CCA">
            <w:pPr>
              <w:pStyle w:val="3"/>
              <w:numPr>
                <w:ilvl w:val="0"/>
                <w:numId w:val="29"/>
              </w:numPr>
              <w:ind w:left="425" w:leftChars="0" w:hanging="425" w:firstLineChars="0"/>
              <w:rPr>
                <w:rFonts w:hint="eastAsia"/>
                <w:lang w:val="en-US" w:eastAsia="zh-CN" w:bidi="ar"/>
              </w:rPr>
            </w:pPr>
            <w:r>
              <w:rPr>
                <w:rFonts w:hint="eastAsia"/>
                <w:lang w:val="en-US" w:eastAsia="zh-CN" w:bidi="ar"/>
              </w:rPr>
              <w:t>必须完成全套验证、跨部门评审、书面报告方可移交，禁止仅凭口头判断移交；所有验证资料作为邮件附件同步研发；</w:t>
            </w:r>
          </w:p>
          <w:p w14:paraId="7FBF92A9">
            <w:pPr>
              <w:pStyle w:val="3"/>
              <w:numPr>
                <w:ilvl w:val="0"/>
                <w:numId w:val="29"/>
              </w:numPr>
              <w:ind w:left="425" w:leftChars="0" w:hanging="425" w:firstLineChars="0"/>
              <w:rPr>
                <w:rFonts w:hint="eastAsia"/>
                <w:lang w:val="en-US" w:eastAsia="zh-CN" w:bidi="ar"/>
              </w:rPr>
            </w:pPr>
            <w:r>
              <w:rPr>
                <w:rFonts w:hint="eastAsia"/>
                <w:lang w:val="en-US" w:eastAsia="zh-CN" w:bidi="ar"/>
              </w:rPr>
              <w:t>QA 为移交结论最终判定责任人，评审结论、工单分类变更必须在钉钉售后群公示留痕；</w:t>
            </w:r>
          </w:p>
          <w:p w14:paraId="0DE8CC9E">
            <w:pPr>
              <w:pStyle w:val="3"/>
              <w:numPr>
                <w:ilvl w:val="0"/>
                <w:numId w:val="29"/>
              </w:numPr>
              <w:ind w:left="425" w:leftChars="0" w:hanging="425" w:firstLineChars="0"/>
              <w:rPr>
                <w:rFonts w:hint="eastAsia"/>
                <w:lang w:val="en-US" w:eastAsia="zh-CN" w:bidi="ar"/>
              </w:rPr>
            </w:pPr>
            <w:r>
              <w:rPr>
                <w:rFonts w:hint="eastAsia"/>
                <w:lang w:val="en-US" w:eastAsia="zh-CN" w:bidi="ar"/>
              </w:rPr>
              <w:t>移交研发不改变原有客诉分级；客户诉求升级时，仍执行原有分级升级流程，启动管理层、专项小组介入；</w:t>
            </w:r>
          </w:p>
          <w:p w14:paraId="0D071136">
            <w:pPr>
              <w:pStyle w:val="3"/>
              <w:numPr>
                <w:ilvl w:val="0"/>
                <w:numId w:val="29"/>
              </w:numPr>
              <w:ind w:left="425" w:leftChars="0" w:hanging="425" w:firstLineChars="0"/>
              <w:rPr>
                <w:rFonts w:hint="eastAsia"/>
                <w:lang w:val="en-US" w:eastAsia="zh-CN" w:bidi="ar"/>
              </w:rPr>
            </w:pPr>
            <w:r>
              <w:rPr>
                <w:rFonts w:hint="eastAsia"/>
                <w:lang w:val="en-US" w:eastAsia="zh-CN" w:bidi="ar"/>
              </w:rPr>
              <w:t xml:space="preserve">台账分类隔离管理： </w:t>
            </w:r>
          </w:p>
          <w:p w14:paraId="4457BD69">
            <w:pPr>
              <w:pStyle w:val="3"/>
              <w:numPr>
                <w:ilvl w:val="0"/>
                <w:numId w:val="30"/>
              </w:numPr>
              <w:ind w:left="0" w:leftChars="0" w:firstLine="440" w:firstLineChars="200"/>
              <w:rPr>
                <w:rFonts w:hint="eastAsia"/>
                <w:lang w:val="en-US" w:eastAsia="zh-CN" w:bidi="ar"/>
              </w:rPr>
            </w:pPr>
            <w:r>
              <w:rPr>
                <w:rFonts w:hint="eastAsia"/>
                <w:lang w:val="en-US" w:eastAsia="zh-CN" w:bidi="ar"/>
              </w:rPr>
              <w:t xml:space="preserve">研发责任质量客诉：纳入投诉率统计，月度复盘重点跟踪整改； </w:t>
            </w:r>
          </w:p>
          <w:p w14:paraId="35B91E0F">
            <w:pPr>
              <w:pStyle w:val="3"/>
              <w:numPr>
                <w:ilvl w:val="0"/>
                <w:numId w:val="30"/>
              </w:numPr>
              <w:ind w:left="0" w:leftChars="0" w:firstLine="440" w:firstLineChars="200"/>
              <w:rPr>
                <w:rFonts w:hint="eastAsia"/>
                <w:lang w:val="en-US" w:eastAsia="zh-CN" w:bidi="ar"/>
              </w:rPr>
            </w:pPr>
            <w:r>
              <w:rPr>
                <w:rFonts w:hint="eastAsia"/>
                <w:lang w:val="en-US" w:eastAsia="zh-CN" w:bidi="ar"/>
              </w:rPr>
              <w:t>技术改善类反馈：单独单列台账，仅作为产品优化需求汇总，不考核投诉率；</w:t>
            </w:r>
          </w:p>
          <w:p w14:paraId="38E943BB">
            <w:pPr>
              <w:pStyle w:val="3"/>
              <w:numPr>
                <w:ilvl w:val="0"/>
                <w:numId w:val="29"/>
              </w:numPr>
              <w:ind w:left="425" w:leftChars="0" w:hanging="425" w:firstLineChars="0"/>
              <w:rPr>
                <w:rFonts w:hint="eastAsia"/>
                <w:lang w:val="en-US" w:eastAsia="zh-CN" w:bidi="ar"/>
              </w:rPr>
            </w:pPr>
            <w:r>
              <w:rPr>
                <w:rFonts w:hint="eastAsia"/>
                <w:lang w:val="en-US" w:eastAsia="zh-CN" w:bidi="ar"/>
              </w:rPr>
              <w:t>被动结案规则统一适用：移交研发后出现客户项目终止、长期失联、优化成本远超订单收益，经技术负责人审批可被动结案，台账备注关闭原因。</w:t>
            </w:r>
          </w:p>
          <w:p w14:paraId="21DF3450">
            <w:pPr>
              <w:pStyle w:val="3"/>
              <w:numPr>
                <w:ilvl w:val="1"/>
                <w:numId w:val="0"/>
              </w:numPr>
              <w:ind w:leftChars="0"/>
              <w:rPr>
                <w:rFonts w:hint="eastAsia"/>
                <w:b/>
                <w:bCs w:val="0"/>
                <w:lang w:val="en-US" w:eastAsia="zh-CN" w:bidi="ar"/>
              </w:rPr>
            </w:pPr>
            <w:r>
              <w:rPr>
                <w:rFonts w:hint="eastAsia"/>
                <w:b/>
                <w:bCs w:val="0"/>
                <w:lang w:val="en-US" w:eastAsia="zh-CN" w:bidi="ar"/>
              </w:rPr>
              <w:t>5.4 退换货统一标准化流程</w:t>
            </w:r>
          </w:p>
          <w:p w14:paraId="73935223">
            <w:pPr>
              <w:pStyle w:val="3"/>
              <w:numPr>
                <w:ilvl w:val="0"/>
                <w:numId w:val="31"/>
              </w:numPr>
              <w:ind w:left="425" w:leftChars="0" w:hanging="425" w:firstLineChars="0"/>
              <w:rPr>
                <w:rFonts w:hint="eastAsia"/>
                <w:lang w:val="en-US" w:eastAsia="zh-CN" w:bidi="ar"/>
              </w:rPr>
            </w:pPr>
            <w:r>
              <w:rPr>
                <w:rFonts w:hint="eastAsia"/>
                <w:lang w:val="en-US" w:eastAsia="zh-CN" w:bidi="ar"/>
              </w:rPr>
              <w:t>销售完成退换货审批后，将退货物流单号同步推送仓储物流部；</w:t>
            </w:r>
          </w:p>
          <w:p w14:paraId="1EE884AE">
            <w:pPr>
              <w:pStyle w:val="3"/>
              <w:numPr>
                <w:ilvl w:val="0"/>
                <w:numId w:val="31"/>
              </w:numPr>
              <w:ind w:left="425" w:leftChars="0" w:hanging="425" w:firstLineChars="0"/>
              <w:rPr>
                <w:rFonts w:hint="eastAsia"/>
                <w:lang w:val="en-US" w:eastAsia="zh-CN" w:bidi="ar"/>
              </w:rPr>
            </w:pPr>
            <w:r>
              <w:rPr>
                <w:rFonts w:hint="eastAsia"/>
                <w:lang w:val="en-US" w:eastAsia="zh-CN" w:bidi="ar"/>
              </w:rPr>
              <w:t>仓库设置独立退货隔离区，退回产品禁止与合格成品混放；</w:t>
            </w:r>
          </w:p>
          <w:p w14:paraId="7E9915BC">
            <w:pPr>
              <w:pStyle w:val="3"/>
              <w:numPr>
                <w:ilvl w:val="0"/>
                <w:numId w:val="31"/>
              </w:numPr>
              <w:ind w:left="425" w:leftChars="0" w:hanging="425" w:firstLineChars="0"/>
              <w:rPr>
                <w:rFonts w:hint="eastAsia"/>
                <w:lang w:val="en-US" w:eastAsia="zh-CN" w:bidi="ar"/>
              </w:rPr>
            </w:pPr>
            <w:r>
              <w:rPr>
                <w:rFonts w:hint="eastAsia"/>
                <w:lang w:val="en-US" w:eastAsia="zh-CN" w:bidi="ar"/>
              </w:rPr>
              <w:t>退货到货 1 个工作日内，QA 到场联合清点验收，数量信息反馈销售支持部；</w:t>
            </w:r>
          </w:p>
          <w:p w14:paraId="3CEF287F">
            <w:pPr>
              <w:pStyle w:val="3"/>
              <w:numPr>
                <w:ilvl w:val="0"/>
                <w:numId w:val="31"/>
              </w:numPr>
              <w:ind w:left="425" w:leftChars="0" w:hanging="425" w:firstLineChars="0"/>
              <w:rPr>
                <w:rFonts w:hint="eastAsia"/>
                <w:lang w:val="en-US" w:eastAsia="zh-CN" w:bidi="ar"/>
              </w:rPr>
            </w:pPr>
            <w:r>
              <w:rPr>
                <w:rFonts w:hint="eastAsia"/>
                <w:lang w:val="en-US" w:eastAsia="zh-CN" w:bidi="ar"/>
              </w:rPr>
              <w:t>销售支持在 ERP 系统生成退货通知单、退货检验单；</w:t>
            </w:r>
          </w:p>
          <w:p w14:paraId="0E7EEC9F">
            <w:pPr>
              <w:pStyle w:val="3"/>
              <w:numPr>
                <w:ilvl w:val="0"/>
                <w:numId w:val="31"/>
              </w:numPr>
              <w:ind w:left="425" w:leftChars="0" w:hanging="425" w:firstLineChars="0"/>
              <w:rPr>
                <w:rFonts w:hint="eastAsia"/>
                <w:lang w:val="en-US" w:eastAsia="zh-CN" w:bidi="ar"/>
              </w:rPr>
            </w:pPr>
            <w:r>
              <w:rPr>
                <w:rFonts w:hint="eastAsia"/>
                <w:lang w:val="en-US" w:eastAsia="zh-CN" w:bidi="ar"/>
              </w:rPr>
              <w:t>QC / 研发完成退货样品复测，出具合格 / 不合格检验判定；</w:t>
            </w:r>
          </w:p>
          <w:p w14:paraId="78BA876C">
            <w:pPr>
              <w:pStyle w:val="3"/>
              <w:numPr>
                <w:ilvl w:val="0"/>
                <w:numId w:val="31"/>
              </w:numPr>
              <w:ind w:left="425" w:leftChars="0" w:hanging="425" w:firstLineChars="0"/>
              <w:rPr>
                <w:rFonts w:hint="eastAsia"/>
                <w:lang w:val="en-US" w:eastAsia="zh-CN" w:bidi="ar"/>
              </w:rPr>
            </w:pPr>
            <w:r>
              <w:rPr>
                <w:rFonts w:hint="eastAsia"/>
                <w:lang w:val="en-US" w:eastAsia="zh-CN" w:bidi="ar"/>
              </w:rPr>
              <w:t>仓储根</w:t>
            </w:r>
            <w:bookmarkStart w:id="4" w:name="_GoBack"/>
            <w:bookmarkEnd w:id="4"/>
            <w:r>
              <w:rPr>
                <w:rFonts w:hint="eastAsia"/>
                <w:lang w:val="en-US" w:eastAsia="zh-CN" w:bidi="ar"/>
              </w:rPr>
              <w:t>据检验结果完成移库，合格品入成品仓、不合格品转入报废仓；</w:t>
            </w:r>
          </w:p>
          <w:p w14:paraId="77F9CC54">
            <w:pPr>
              <w:pStyle w:val="3"/>
              <w:numPr>
                <w:ilvl w:val="0"/>
                <w:numId w:val="31"/>
              </w:numPr>
              <w:ind w:left="425" w:leftChars="0" w:hanging="425" w:firstLineChars="0"/>
              <w:rPr>
                <w:rFonts w:hint="eastAsia"/>
                <w:lang w:val="en-US" w:eastAsia="zh-CN" w:bidi="ar"/>
              </w:rPr>
            </w:pPr>
            <w:r>
              <w:rPr>
                <w:rFonts w:hint="eastAsia"/>
                <w:lang w:val="en-US" w:eastAsia="zh-CN" w:bidi="ar"/>
              </w:rPr>
              <w:t>换货订单生产排产、出库全部优先处理，销售同步新货发货信息给客户。</w:t>
            </w:r>
          </w:p>
          <w:p w14:paraId="1B458061">
            <w:pPr>
              <w:pStyle w:val="3"/>
              <w:bidi w:val="0"/>
              <w:rPr>
                <w:rFonts w:hint="eastAsia"/>
                <w:b/>
                <w:bCs w:val="0"/>
              </w:rPr>
            </w:pPr>
            <w:r>
              <w:rPr>
                <w:rFonts w:hint="eastAsia"/>
                <w:b/>
                <w:bCs w:val="0"/>
              </w:rPr>
              <w:t>投诉被动关闭条件</w:t>
            </w:r>
          </w:p>
          <w:p w14:paraId="5110A31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满足以下任一情况，经QA、管代审批后可被动结案：</w:t>
            </w:r>
          </w:p>
          <w:p w14:paraId="3CFD2694">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2"/>
                <w:szCs w:val="22"/>
              </w:rPr>
            </w:pPr>
            <w:r>
              <w:rPr>
                <w:rFonts w:hint="eastAsia" w:ascii="宋体" w:hAnsi="宋体" w:eastAsia="宋体" w:cs="宋体"/>
                <w:sz w:val="22"/>
                <w:szCs w:val="22"/>
              </w:rPr>
              <w:t>客户项目终止，连续30天无任何反馈；</w:t>
            </w:r>
          </w:p>
          <w:p w14:paraId="011D87EC">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2"/>
                <w:szCs w:val="22"/>
              </w:rPr>
            </w:pPr>
            <w:r>
              <w:rPr>
                <w:rFonts w:hint="eastAsia" w:ascii="宋体" w:hAnsi="宋体" w:eastAsia="宋体" w:cs="宋体"/>
                <w:sz w:val="22"/>
                <w:szCs w:val="22"/>
              </w:rPr>
              <w:t>处置资源投入远高于订单收益，客户无进一步维权诉求，管理层评估后同意结案；</w:t>
            </w:r>
          </w:p>
          <w:p w14:paraId="0704030E">
            <w:pPr>
              <w:keepNext w:val="0"/>
              <w:keepLines w:val="0"/>
              <w:pageBreakBefore w:val="0"/>
              <w:widowControl w:val="0"/>
              <w:numPr>
                <w:ilvl w:val="0"/>
                <w:numId w:val="32"/>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2"/>
                <w:szCs w:val="22"/>
              </w:rPr>
            </w:pPr>
            <w:commentRangeStart w:id="13"/>
            <w:r>
              <w:rPr>
                <w:rFonts w:hint="eastAsia" w:ascii="宋体" w:hAnsi="宋体" w:eastAsia="宋体" w:cs="宋体"/>
                <w:sz w:val="22"/>
                <w:szCs w:val="22"/>
              </w:rPr>
              <w:t>客户失联，多次沟通无回复。</w:t>
            </w:r>
            <w:commentRangeEnd w:id="13"/>
            <w:r>
              <w:commentReference w:id="13"/>
            </w:r>
          </w:p>
          <w:p w14:paraId="36140E20">
            <w:pPr>
              <w:numPr>
                <w:ilvl w:val="-1"/>
                <w:numId w:val="0"/>
              </w:numPr>
              <w:ind w:left="0" w:leftChars="0"/>
              <w:rPr>
                <w:rFonts w:hint="eastAsia" w:ascii="宋体" w:hAnsi="宋体" w:cs="宋体"/>
                <w:sz w:val="22"/>
                <w:szCs w:val="22"/>
              </w:rPr>
            </w:pPr>
            <w:r>
              <w:rPr>
                <w:rFonts w:hint="eastAsia" w:ascii="宋体" w:hAnsi="宋体" w:cs="宋体"/>
                <w:b/>
                <w:bCs/>
                <w:color w:val="auto"/>
                <w:sz w:val="22"/>
                <w:szCs w:val="22"/>
                <w:lang w:val="en-US" w:eastAsia="zh-CN"/>
              </w:rPr>
              <w:t>5.6</w:t>
            </w:r>
            <w:r>
              <w:rPr>
                <w:rFonts w:hint="eastAsia" w:ascii="宋体" w:hAnsi="宋体" w:cs="宋体"/>
                <w:b/>
                <w:bCs/>
                <w:sz w:val="22"/>
                <w:szCs w:val="22"/>
              </w:rPr>
              <w:t>台账、复盘、归档管理</w:t>
            </w:r>
          </w:p>
          <w:p w14:paraId="2571F579">
            <w:pPr>
              <w:numPr>
                <w:ilvl w:val="0"/>
                <w:numId w:val="33"/>
              </w:numPr>
              <w:ind w:left="425" w:leftChars="0" w:hanging="425" w:firstLineChars="0"/>
              <w:rPr>
                <w:rFonts w:hint="eastAsia" w:ascii="宋体" w:hAnsi="宋体" w:cs="宋体"/>
                <w:sz w:val="22"/>
                <w:szCs w:val="22"/>
              </w:rPr>
            </w:pPr>
            <w:r>
              <w:rPr>
                <w:rFonts w:hint="eastAsia" w:ascii="宋体" w:hAnsi="宋体" w:cs="宋体"/>
                <w:sz w:val="22"/>
                <w:szCs w:val="22"/>
              </w:rPr>
              <w:t>客诉台账：QA标注客诉等级、结案状态；每月初组织销售、生产、研发、技术支持召开客诉月度复盘会，分析高频问题、整改落地情况、投诉率趋势；</w:t>
            </w:r>
          </w:p>
          <w:p w14:paraId="30259A08">
            <w:pPr>
              <w:numPr>
                <w:ilvl w:val="0"/>
                <w:numId w:val="33"/>
              </w:numPr>
              <w:ind w:left="425" w:leftChars="0" w:hanging="425" w:firstLineChars="0"/>
              <w:rPr>
                <w:rFonts w:hint="eastAsia" w:ascii="宋体" w:hAnsi="宋体" w:cs="宋体"/>
                <w:sz w:val="22"/>
                <w:szCs w:val="22"/>
              </w:rPr>
            </w:pPr>
            <w:r>
              <w:rPr>
                <w:rFonts w:hint="eastAsia" w:ascii="宋体" w:hAnsi="宋体" w:cs="宋体"/>
                <w:sz w:val="22"/>
                <w:szCs w:val="22"/>
              </w:rPr>
              <w:t>档案归档：所有单据（反馈单、自查报告、实验方案/报告、整改报告、审批流截图、客户沟通记录）统一存放至QA共享文件夹，命名规则：投诉时间+客户名称+产品货号+问题+客诉等级；</w:t>
            </w:r>
          </w:p>
          <w:p w14:paraId="17B2C68B">
            <w:pPr>
              <w:numPr>
                <w:ilvl w:val="0"/>
                <w:numId w:val="33"/>
              </w:numPr>
              <w:ind w:left="425" w:leftChars="0" w:hanging="425" w:firstLineChars="0"/>
              <w:rPr>
                <w:rFonts w:hint="eastAsia" w:ascii="宋体" w:hAnsi="宋体" w:cs="宋体"/>
                <w:sz w:val="22"/>
                <w:szCs w:val="22"/>
              </w:rPr>
            </w:pPr>
            <w:commentRangeStart w:id="14"/>
            <w:r>
              <w:rPr>
                <w:rFonts w:hint="eastAsia" w:ascii="宋体" w:hAnsi="宋体" w:cs="宋体"/>
                <w:sz w:val="22"/>
                <w:szCs w:val="22"/>
              </w:rPr>
              <w:t>权限管控</w:t>
            </w:r>
            <w:commentRangeEnd w:id="14"/>
            <w:r>
              <w:commentReference w:id="14"/>
            </w:r>
          </w:p>
          <w:p w14:paraId="50606475">
            <w:pPr>
              <w:numPr>
                <w:ilvl w:val="0"/>
                <w:numId w:val="34"/>
              </w:numPr>
              <w:ind w:left="0" w:leftChars="0" w:firstLine="440" w:firstLineChars="200"/>
              <w:rPr>
                <w:rFonts w:hint="eastAsia" w:ascii="宋体" w:hAnsi="宋体" w:cs="宋体"/>
                <w:sz w:val="22"/>
                <w:szCs w:val="22"/>
              </w:rPr>
            </w:pPr>
            <w:r>
              <w:rPr>
                <w:rFonts w:hint="eastAsia" w:ascii="宋体" w:hAnsi="宋体" w:cs="宋体"/>
                <w:sz w:val="22"/>
                <w:szCs w:val="22"/>
              </w:rPr>
              <w:t>台账查看：总经理、分管副总、QA、销售、生产、研发、技术支持负责人；</w:t>
            </w:r>
          </w:p>
          <w:p w14:paraId="35628D84">
            <w:pPr>
              <w:numPr>
                <w:ilvl w:val="0"/>
                <w:numId w:val="34"/>
              </w:numPr>
              <w:ind w:left="0" w:leftChars="0" w:firstLine="440" w:firstLineChars="200"/>
              <w:rPr>
                <w:rFonts w:hint="eastAsia" w:ascii="宋体" w:hAnsi="宋体" w:cs="宋体"/>
                <w:sz w:val="22"/>
                <w:szCs w:val="22"/>
              </w:rPr>
            </w:pPr>
            <w:r>
              <w:rPr>
                <w:rFonts w:hint="eastAsia" w:ascii="宋体" w:hAnsi="宋体" w:cs="宋体"/>
                <w:sz w:val="22"/>
                <w:szCs w:val="22"/>
              </w:rPr>
              <w:t>完整档案查阅：仅总经理、分管副总、QA；其他部门需申请借阅登记。</w:t>
            </w:r>
          </w:p>
          <w:p w14:paraId="10B32FEA">
            <w:pPr>
              <w:pStyle w:val="2"/>
              <w:bidi w:val="0"/>
              <w:rPr>
                <w:rFonts w:hint="eastAsia"/>
              </w:rPr>
            </w:pPr>
            <w:r>
              <w:rPr>
                <w:rFonts w:hint="eastAsia"/>
              </w:rPr>
              <w:t>相关文件及记录:</w:t>
            </w:r>
          </w:p>
          <w:p w14:paraId="050990B1">
            <w:pPr>
              <w:rPr>
                <w:rFonts w:hint="eastAsia"/>
              </w:rPr>
            </w:pPr>
          </w:p>
          <w:tbl>
            <w:tblPr>
              <w:tblStyle w:val="22"/>
              <w:tblW w:w="4999" w:type="pct"/>
              <w:jc w:val="center"/>
              <w:tblLayout w:type="fixed"/>
              <w:tblCellMar>
                <w:top w:w="0" w:type="dxa"/>
                <w:left w:w="108" w:type="dxa"/>
                <w:bottom w:w="0" w:type="dxa"/>
                <w:right w:w="108" w:type="dxa"/>
              </w:tblCellMar>
            </w:tblPr>
            <w:tblGrid>
              <w:gridCol w:w="746"/>
              <w:gridCol w:w="4093"/>
              <w:gridCol w:w="5516"/>
            </w:tblGrid>
            <w:tr w14:paraId="6A06A724">
              <w:trPr>
                <w:trHeight w:val="229" w:hRule="atLeast"/>
                <w:jc w:val="center"/>
              </w:trPr>
              <w:tc>
                <w:tcPr>
                  <w:tcW w:w="360"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1CAFEC92">
                  <w:pPr>
                    <w:widowControl/>
                    <w:adjustRightInd w:val="0"/>
                    <w:snapToGrid w:val="0"/>
                    <w:ind w:left="0" w:leftChars="0"/>
                    <w:jc w:val="center"/>
                    <w:textAlignment w:val="center"/>
                    <w:rPr>
                      <w:rFonts w:hint="eastAsia" w:ascii="宋体" w:hAnsi="宋体" w:cs="宋体"/>
                      <w:color w:val="auto"/>
                      <w:sz w:val="22"/>
                      <w:szCs w:val="22"/>
                    </w:rPr>
                  </w:pPr>
                  <w:r>
                    <w:rPr>
                      <w:rFonts w:hint="eastAsia" w:ascii="宋体" w:hAnsi="宋体" w:cs="宋体"/>
                      <w:color w:val="auto"/>
                      <w:kern w:val="0"/>
                      <w:sz w:val="22"/>
                      <w:szCs w:val="22"/>
                      <w:lang w:bidi="ar"/>
                    </w:rPr>
                    <w:t>序号</w:t>
                  </w:r>
                </w:p>
              </w:tc>
              <w:tc>
                <w:tcPr>
                  <w:tcW w:w="1976"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33E9B27A">
                  <w:pPr>
                    <w:widowControl/>
                    <w:adjustRightInd w:val="0"/>
                    <w:snapToGrid w:val="0"/>
                    <w:ind w:left="0" w:leftChars="0"/>
                    <w:jc w:val="center"/>
                    <w:textAlignment w:val="center"/>
                    <w:rPr>
                      <w:rFonts w:hint="eastAsia" w:ascii="宋体" w:hAnsi="宋体" w:cs="宋体"/>
                      <w:color w:val="auto"/>
                      <w:sz w:val="22"/>
                      <w:szCs w:val="22"/>
                    </w:rPr>
                  </w:pPr>
                  <w:r>
                    <w:rPr>
                      <w:rFonts w:hint="eastAsia" w:ascii="宋体" w:hAnsi="宋体" w:cs="宋体"/>
                      <w:color w:val="auto"/>
                      <w:kern w:val="0"/>
                      <w:sz w:val="22"/>
                      <w:szCs w:val="22"/>
                      <w:lang w:bidi="ar"/>
                    </w:rPr>
                    <w:t>文件名称</w:t>
                  </w:r>
                </w:p>
              </w:tc>
              <w:tc>
                <w:tcPr>
                  <w:tcW w:w="2663" w:type="pct"/>
                  <w:tcBorders>
                    <w:top w:val="single" w:color="000000" w:sz="4" w:space="0"/>
                    <w:left w:val="single" w:color="000000" w:sz="4" w:space="0"/>
                    <w:bottom w:val="single" w:color="000000" w:sz="4" w:space="0"/>
                    <w:right w:val="single" w:color="000000" w:sz="4" w:space="0"/>
                  </w:tcBorders>
                  <w:shd w:val="clear" w:color="auto" w:fill="BFBFBF"/>
                  <w:noWrap/>
                  <w:vAlign w:val="center"/>
                </w:tcPr>
                <w:p w14:paraId="7B490B6C">
                  <w:pPr>
                    <w:widowControl/>
                    <w:adjustRightInd w:val="0"/>
                    <w:snapToGrid w:val="0"/>
                    <w:ind w:left="0" w:leftChars="0"/>
                    <w:jc w:val="center"/>
                    <w:textAlignment w:val="center"/>
                    <w:rPr>
                      <w:rFonts w:hint="eastAsia" w:ascii="宋体" w:hAnsi="宋体" w:cs="宋体"/>
                      <w:color w:val="auto"/>
                      <w:sz w:val="22"/>
                      <w:szCs w:val="22"/>
                    </w:rPr>
                  </w:pPr>
                  <w:r>
                    <w:rPr>
                      <w:rFonts w:hint="eastAsia" w:ascii="宋体" w:hAnsi="宋体" w:cs="宋体"/>
                      <w:color w:val="auto"/>
                      <w:kern w:val="0"/>
                      <w:sz w:val="22"/>
                      <w:szCs w:val="22"/>
                      <w:lang w:bidi="ar"/>
                    </w:rPr>
                    <w:t>相应记录名称</w:t>
                  </w:r>
                </w:p>
              </w:tc>
            </w:tr>
            <w:tr w14:paraId="5E95A5F7">
              <w:trPr>
                <w:trHeight w:val="337" w:hRule="atLeast"/>
                <w:jc w:val="center"/>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D2637">
                  <w:pPr>
                    <w:widowControl/>
                    <w:adjustRightInd w:val="0"/>
                    <w:snapToGrid w:val="0"/>
                    <w:ind w:left="0" w:leftChars="0"/>
                    <w:jc w:val="center"/>
                    <w:textAlignment w:val="center"/>
                    <w:rPr>
                      <w:rFonts w:hint="eastAsia" w:ascii="宋体" w:hAnsi="宋体" w:cs="宋体"/>
                      <w:color w:val="auto"/>
                      <w:sz w:val="22"/>
                      <w:szCs w:val="22"/>
                    </w:rPr>
                  </w:pPr>
                  <w:r>
                    <w:rPr>
                      <w:rFonts w:hint="eastAsia" w:ascii="宋体" w:hAnsi="宋体" w:cs="宋体"/>
                      <w:color w:val="auto"/>
                      <w:sz w:val="22"/>
                      <w:szCs w:val="22"/>
                    </w:rPr>
                    <w:t>1</w:t>
                  </w:r>
                </w:p>
              </w:tc>
              <w:tc>
                <w:tcPr>
                  <w:tcW w:w="1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BDCE0">
                  <w:pPr>
                    <w:widowControl/>
                    <w:adjustRightInd w:val="0"/>
                    <w:snapToGrid w:val="0"/>
                    <w:ind w:left="0" w:leftChars="0"/>
                    <w:jc w:val="left"/>
                    <w:textAlignment w:val="center"/>
                    <w:rPr>
                      <w:rFonts w:hint="eastAsia" w:ascii="宋体" w:hAnsi="宋体" w:cs="宋体"/>
                      <w:color w:val="auto"/>
                      <w:sz w:val="22"/>
                      <w:szCs w:val="22"/>
                    </w:rPr>
                  </w:pPr>
                  <w:r>
                    <w:rPr>
                      <w:rFonts w:hint="eastAsia" w:ascii="宋体" w:hAnsi="宋体" w:cs="宋体"/>
                      <w:color w:val="auto"/>
                      <w:sz w:val="22"/>
                      <w:szCs w:val="22"/>
                    </w:rPr>
                    <w:t>MI-01-18顾客满意度测量管理程序</w:t>
                  </w:r>
                </w:p>
              </w:tc>
              <w:tc>
                <w:tcPr>
                  <w:tcW w:w="2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B088">
                  <w:pPr>
                    <w:widowControl/>
                    <w:adjustRightInd w:val="0"/>
                    <w:snapToGrid w:val="0"/>
                    <w:ind w:left="0" w:leftChars="0"/>
                    <w:jc w:val="left"/>
                    <w:rPr>
                      <w:rFonts w:hint="eastAsia" w:ascii="宋体" w:hAnsi="宋体" w:cs="宋体"/>
                      <w:color w:val="auto"/>
                      <w:sz w:val="22"/>
                      <w:szCs w:val="22"/>
                    </w:rPr>
                  </w:pPr>
                  <w:r>
                    <w:rPr>
                      <w:rFonts w:hint="eastAsia" w:ascii="宋体" w:hAnsi="宋体" w:cs="宋体"/>
                      <w:color w:val="auto"/>
                      <w:sz w:val="22"/>
                      <w:szCs w:val="22"/>
                    </w:rPr>
                    <w:t xml:space="preserve">顾客投诉调查处理表 </w:t>
                  </w:r>
                </w:p>
              </w:tc>
            </w:tr>
            <w:tr w14:paraId="0981D692">
              <w:trPr>
                <w:trHeight w:val="337" w:hRule="atLeast"/>
                <w:jc w:val="center"/>
              </w:trPr>
              <w:tc>
                <w:tcPr>
                  <w:tcW w:w="3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B5AE9">
                  <w:pPr>
                    <w:widowControl/>
                    <w:adjustRightInd w:val="0"/>
                    <w:snapToGrid w:val="0"/>
                    <w:ind w:left="0" w:leftChars="0"/>
                    <w:jc w:val="center"/>
                    <w:textAlignment w:val="center"/>
                    <w:rPr>
                      <w:rFonts w:hint="eastAsia" w:ascii="宋体" w:hAnsi="宋体" w:eastAsia="宋体" w:cs="宋体"/>
                      <w:color w:val="auto"/>
                      <w:sz w:val="22"/>
                      <w:szCs w:val="22"/>
                      <w:lang w:val="en-US" w:eastAsia="zh-CN"/>
                    </w:rPr>
                  </w:pPr>
                  <w:r>
                    <w:rPr>
                      <w:rFonts w:hint="eastAsia" w:ascii="宋体" w:hAnsi="宋体" w:cs="宋体"/>
                      <w:color w:val="auto"/>
                      <w:sz w:val="22"/>
                      <w:szCs w:val="22"/>
                      <w:lang w:val="en-US" w:eastAsia="zh-CN"/>
                    </w:rPr>
                    <w:t>2</w:t>
                  </w:r>
                </w:p>
              </w:tc>
              <w:tc>
                <w:tcPr>
                  <w:tcW w:w="19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BEC98">
                  <w:pPr>
                    <w:widowControl/>
                    <w:adjustRightInd w:val="0"/>
                    <w:snapToGrid w:val="0"/>
                    <w:ind w:left="0" w:leftChars="0"/>
                    <w:jc w:val="left"/>
                    <w:textAlignment w:val="center"/>
                    <w:rPr>
                      <w:rFonts w:hint="eastAsia" w:ascii="宋体" w:hAnsi="宋体" w:cs="宋体"/>
                      <w:color w:val="auto"/>
                      <w:sz w:val="22"/>
                      <w:szCs w:val="22"/>
                    </w:rPr>
                  </w:pPr>
                  <w:r>
                    <w:rPr>
                      <w:rFonts w:hint="eastAsia" w:ascii="宋体" w:hAnsi="宋体" w:cs="宋体"/>
                      <w:color w:val="auto"/>
                      <w:sz w:val="22"/>
                      <w:szCs w:val="22"/>
                    </w:rPr>
                    <w:t>MI-01-21改进控制程序</w:t>
                  </w:r>
                </w:p>
              </w:tc>
              <w:tc>
                <w:tcPr>
                  <w:tcW w:w="26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C1EAF">
                  <w:pPr>
                    <w:widowControl/>
                    <w:adjustRightInd w:val="0"/>
                    <w:snapToGrid w:val="0"/>
                    <w:ind w:left="0" w:leftChars="0"/>
                    <w:jc w:val="left"/>
                    <w:rPr>
                      <w:rFonts w:hint="eastAsia" w:ascii="宋体" w:hAnsi="宋体" w:cs="宋体"/>
                      <w:color w:val="auto"/>
                      <w:sz w:val="22"/>
                      <w:szCs w:val="22"/>
                    </w:rPr>
                  </w:pPr>
                </w:p>
              </w:tc>
            </w:tr>
          </w:tbl>
          <w:p w14:paraId="65E3AF69">
            <w:pPr>
              <w:pStyle w:val="2"/>
              <w:numPr>
                <w:ilvl w:val="0"/>
                <w:numId w:val="0"/>
              </w:numPr>
              <w:ind w:leftChars="0"/>
              <w:rPr>
                <w:rFonts w:hint="eastAsia" w:ascii="宋体" w:hAnsi="宋体" w:cs="宋体"/>
                <w:color w:val="auto"/>
                <w:sz w:val="22"/>
                <w:szCs w:val="22"/>
              </w:rPr>
            </w:pPr>
            <w:r>
              <w:rPr>
                <w:rFonts w:hint="eastAsia" w:ascii="宋体" w:hAnsi="宋体" w:cs="宋体"/>
                <w:color w:val="auto"/>
                <w:sz w:val="22"/>
                <w:szCs w:val="22"/>
                <w:lang w:val="en-US" w:eastAsia="zh-CN"/>
              </w:rPr>
              <w:t>7</w:t>
            </w:r>
            <w:r>
              <w:rPr>
                <w:rFonts w:hint="eastAsia" w:ascii="宋体" w:hAnsi="宋体" w:cs="宋体"/>
                <w:color w:val="auto"/>
                <w:sz w:val="22"/>
                <w:szCs w:val="22"/>
              </w:rPr>
              <w:t>记录表单：</w:t>
            </w:r>
          </w:p>
          <w:p w14:paraId="1005C80E">
            <w:pPr>
              <w:rPr>
                <w:rFonts w:hint="eastAsia" w:ascii="宋体" w:hAnsi="宋体" w:cs="宋体"/>
                <w:color w:val="auto"/>
                <w:sz w:val="22"/>
                <w:szCs w:val="22"/>
                <w:lang w:eastAsia="zh-CN"/>
              </w:rPr>
            </w:pPr>
            <w:r>
              <w:rPr>
                <w:rFonts w:hint="eastAsia" w:ascii="宋体" w:hAnsi="宋体" w:cs="宋体"/>
                <w:color w:val="auto"/>
                <w:sz w:val="22"/>
                <w:szCs w:val="22"/>
                <w:lang w:eastAsia="zh-CN"/>
              </w:rPr>
              <w:t>《</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lang w:val="en-US" w:eastAsia="zh-CN"/>
              </w:rPr>
              <w:t>售后实验方案/报告</w:t>
            </w:r>
            <w:r>
              <w:rPr>
                <w:rFonts w:hint="eastAsia" w:ascii="宋体" w:hAnsi="宋体" w:cs="宋体"/>
                <w:color w:val="auto"/>
                <w:sz w:val="22"/>
                <w:szCs w:val="22"/>
                <w:lang w:eastAsia="zh-CN"/>
              </w:rPr>
              <w:t>》</w:t>
            </w:r>
          </w:p>
          <w:p w14:paraId="0107FD2B">
            <w:pPr>
              <w:rPr>
                <w:rFonts w:hint="eastAsia" w:ascii="宋体" w:hAnsi="宋体" w:cs="宋体"/>
                <w:color w:val="auto"/>
                <w:sz w:val="22"/>
                <w:szCs w:val="22"/>
                <w:lang w:eastAsia="zh-CN"/>
              </w:rPr>
            </w:pPr>
            <w:r>
              <w:rPr>
                <w:rFonts w:hint="eastAsia" w:ascii="宋体" w:hAnsi="宋体" w:cs="宋体"/>
                <w:color w:val="auto"/>
                <w:sz w:val="22"/>
                <w:szCs w:val="22"/>
                <w:lang w:eastAsia="zh-CN"/>
              </w:rPr>
              <w:t>《</w:t>
            </w:r>
            <w:r>
              <w:rPr>
                <w:rFonts w:hint="eastAsia" w:ascii="宋体" w:hAnsi="宋体" w:cs="宋体"/>
                <w:color w:val="auto"/>
                <w:sz w:val="22"/>
                <w:szCs w:val="22"/>
                <w:u w:val="single"/>
                <w:lang w:val="en-US" w:eastAsia="zh-CN"/>
              </w:rPr>
              <w:t xml:space="preserve">     </w:t>
            </w:r>
            <w:r>
              <w:rPr>
                <w:rFonts w:hint="eastAsia" w:ascii="宋体" w:hAnsi="宋体" w:cs="宋体"/>
                <w:color w:val="auto"/>
                <w:sz w:val="22"/>
                <w:szCs w:val="22"/>
                <w:lang w:val="en-US" w:eastAsia="zh-CN"/>
              </w:rPr>
              <w:t>自查报告</w:t>
            </w:r>
            <w:r>
              <w:rPr>
                <w:rFonts w:hint="eastAsia" w:ascii="宋体" w:hAnsi="宋体" w:cs="宋体"/>
                <w:color w:val="auto"/>
                <w:sz w:val="22"/>
                <w:szCs w:val="22"/>
                <w:lang w:eastAsia="zh-CN"/>
              </w:rPr>
              <w:t>》</w:t>
            </w:r>
          </w:p>
          <w:p w14:paraId="633285A0">
            <w:pPr>
              <w:rPr>
                <w:rFonts w:hint="eastAsia" w:ascii="宋体" w:hAnsi="宋体" w:cs="宋体"/>
                <w:color w:val="auto"/>
                <w:sz w:val="22"/>
                <w:szCs w:val="22"/>
                <w:lang w:val="en-US" w:eastAsia="zh-CN"/>
              </w:rPr>
            </w:pPr>
            <w:r>
              <w:rPr>
                <w:rFonts w:hint="eastAsia" w:ascii="宋体" w:hAnsi="宋体" w:cs="宋体"/>
                <w:color w:val="auto"/>
                <w:sz w:val="22"/>
                <w:szCs w:val="22"/>
                <w:lang w:val="en-US" w:eastAsia="zh-CN"/>
              </w:rPr>
              <w:t>《客户投诉台账》</w:t>
            </w:r>
          </w:p>
          <w:p w14:paraId="50E28E10">
            <w:pPr>
              <w:keepNext w:val="0"/>
              <w:keepLines w:val="0"/>
              <w:pageBreakBefore w:val="0"/>
              <w:widowControl w:val="0"/>
              <w:kinsoku/>
              <w:wordWrap w:val="0"/>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cs="宋体"/>
                <w:b/>
                <w:bCs/>
                <w:color w:val="auto"/>
                <w:kern w:val="44"/>
                <w:sz w:val="22"/>
                <w:szCs w:val="22"/>
                <w:lang w:val="en-US" w:eastAsia="zh-CN" w:bidi="ar-SA"/>
              </w:rPr>
            </w:pPr>
            <w:r>
              <w:rPr>
                <w:rFonts w:hint="eastAsia" w:ascii="宋体" w:hAnsi="宋体" w:eastAsia="宋体" w:cs="宋体"/>
                <w:b/>
                <w:bCs/>
                <w:color w:val="auto"/>
                <w:kern w:val="44"/>
                <w:sz w:val="22"/>
                <w:szCs w:val="22"/>
                <w:lang w:val="en-US" w:eastAsia="zh-CN" w:bidi="ar-SA"/>
              </w:rPr>
              <w:t>8流程</w:t>
            </w:r>
            <w:r>
              <w:rPr>
                <w:rFonts w:hint="eastAsia" w:ascii="宋体" w:hAnsi="宋体" w:cs="宋体"/>
                <w:b/>
                <w:bCs/>
                <w:color w:val="auto"/>
                <w:kern w:val="44"/>
                <w:sz w:val="22"/>
                <w:szCs w:val="22"/>
                <w:lang w:val="en-US" w:eastAsia="zh-CN" w:bidi="ar-SA"/>
              </w:rPr>
              <w:t>图</w:t>
            </w:r>
          </w:p>
          <w:p w14:paraId="7E7A3A91">
            <w:pPr>
              <w:ind w:left="0" w:leftChars="0" w:firstLine="0" w:firstLineChars="0"/>
              <w:rPr>
                <w:rFonts w:hint="default" w:ascii="宋体" w:hAnsi="宋体" w:cs="宋体"/>
                <w:color w:val="auto"/>
                <w:sz w:val="22"/>
                <w:szCs w:val="22"/>
                <w:lang w:val="en-US" w:eastAsia="zh-CN"/>
              </w:rPr>
            </w:pPr>
            <w:r>
              <w:rPr>
                <w:rFonts w:hint="eastAsia" w:ascii="宋体" w:hAnsi="宋体" w:cs="宋体"/>
                <w:color w:val="auto"/>
                <w:sz w:val="22"/>
                <w:szCs w:val="22"/>
                <w:lang w:val="en-US" w:eastAsia="zh-CN"/>
              </w:rPr>
              <w:t xml:space="preserve">    </w:t>
            </w:r>
            <w:commentRangeStart w:id="15"/>
            <w:r>
              <w:rPr>
                <w:rFonts w:hint="eastAsia" w:ascii="宋体" w:hAnsi="宋体" w:cs="宋体"/>
                <w:color w:val="auto"/>
                <w:sz w:val="22"/>
                <w:szCs w:val="22"/>
                <w:lang w:val="en-US" w:eastAsia="zh-CN"/>
              </w:rPr>
              <w:t>无</w:t>
            </w:r>
            <w:commentRangeEnd w:id="15"/>
            <w:r>
              <w:commentReference w:id="15"/>
            </w:r>
          </w:p>
          <w:p w14:paraId="44FC4EF8">
            <w:pPr>
              <w:keepNext w:val="0"/>
              <w:keepLines w:val="0"/>
              <w:pageBreakBefore w:val="0"/>
              <w:widowControl w:val="0"/>
              <w:numPr>
                <w:ilvl w:val="0"/>
                <w:numId w:val="35"/>
              </w:numPr>
              <w:kinsoku/>
              <w:wordWrap w:val="0"/>
              <w:overflowPunct/>
              <w:topLinePunct w:val="0"/>
              <w:autoSpaceDE/>
              <w:autoSpaceDN/>
              <w:bidi w:val="0"/>
              <w:adjustRightInd w:val="0"/>
              <w:snapToGrid w:val="0"/>
              <w:spacing w:line="288" w:lineRule="auto"/>
              <w:ind w:left="0" w:leftChars="0" w:firstLine="0" w:firstLineChars="0"/>
              <w:jc w:val="left"/>
              <w:textAlignment w:val="auto"/>
              <w:rPr>
                <w:rFonts w:hint="eastAsia" w:ascii="宋体" w:hAnsi="宋体" w:cs="宋体"/>
                <w:b/>
                <w:bCs/>
                <w:color w:val="auto"/>
                <w:kern w:val="44"/>
                <w:sz w:val="22"/>
                <w:szCs w:val="22"/>
                <w:lang w:val="en-US" w:eastAsia="zh-CN" w:bidi="ar-SA"/>
              </w:rPr>
            </w:pPr>
            <w:r>
              <w:rPr>
                <w:rFonts w:hint="eastAsia" w:ascii="宋体" w:hAnsi="宋体" w:cs="宋体"/>
                <w:b/>
                <w:bCs/>
                <w:color w:val="auto"/>
                <w:kern w:val="44"/>
                <w:sz w:val="22"/>
                <w:szCs w:val="22"/>
                <w:lang w:val="en-US" w:eastAsia="zh-CN" w:bidi="ar-SA"/>
              </w:rPr>
              <w:t>培训对象</w:t>
            </w:r>
          </w:p>
          <w:p w14:paraId="77ABE4C1">
            <w:pPr>
              <w:pStyle w:val="3"/>
              <w:numPr>
                <w:ilvl w:val="1"/>
                <w:numId w:val="0"/>
              </w:numPr>
              <w:ind w:leftChars="0"/>
              <w:rPr>
                <w:rFonts w:hint="eastAsia"/>
                <w:color w:val="000000" w:themeColor="text1"/>
                <w:lang w:val="en-US" w:eastAsia="zh-CN"/>
                <w14:textFill>
                  <w14:solidFill>
                    <w14:schemeClr w14:val="tx1"/>
                  </w14:solidFill>
                </w14:textFill>
              </w:rPr>
            </w:pPr>
            <w:r>
              <w:rPr>
                <w:rFonts w:hint="eastAsia" w:ascii="宋体" w:hAnsi="宋体" w:cs="宋体"/>
                <w:b/>
                <w:bCs/>
                <w:color w:val="auto"/>
                <w:kern w:val="44"/>
                <w:sz w:val="22"/>
                <w:szCs w:val="22"/>
                <w:lang w:val="en-US" w:eastAsia="zh-CN" w:bidi="ar-SA"/>
              </w:rPr>
              <w:t xml:space="preserve">  </w:t>
            </w:r>
            <w:r>
              <w:rPr>
                <w:rFonts w:hint="eastAsia" w:ascii="宋体" w:hAnsi="宋体" w:cs="宋体"/>
                <w:b w:val="0"/>
                <w:bCs w:val="0"/>
                <w:color w:val="auto"/>
                <w:kern w:val="44"/>
                <w:sz w:val="22"/>
                <w:szCs w:val="22"/>
                <w:lang w:val="en-US" w:eastAsia="zh-CN" w:bidi="ar-SA"/>
              </w:rPr>
              <w:t>质量保证部、质检部、生产部、仓储物流部、分子试剂产品部、技术支持部、销售部、销售支持部</w:t>
            </w:r>
          </w:p>
        </w:tc>
      </w:tr>
    </w:tbl>
    <w:p w14:paraId="6423044D">
      <w:pPr>
        <w:wordWrap w:val="0"/>
        <w:snapToGrid w:val="0"/>
        <w:spacing w:line="288" w:lineRule="auto"/>
        <w:ind w:left="0" w:leftChars="0" w:firstLine="0" w:firstLineChars="0"/>
        <w:jc w:val="both"/>
        <w:rPr>
          <w:rFonts w:hint="eastAsia" w:ascii="宋体" w:hAnsi="宋体"/>
          <w:color w:val="000000" w:themeColor="text1"/>
          <w14:textFill>
            <w14:solidFill>
              <w14:schemeClr w14:val="tx1"/>
            </w14:solidFill>
          </w14:textFill>
        </w:rPr>
      </w:pPr>
      <w:r>
        <w:rPr>
          <w:rFonts w:hint="eastAsia" w:ascii="宋体" w:hAnsi="宋体"/>
          <w:b/>
          <w:color w:val="000000" w:themeColor="text1"/>
          <w:sz w:val="24"/>
          <w14:textFill>
            <w14:solidFill>
              <w14:schemeClr w14:val="tx1"/>
            </w14:solidFill>
          </w14:textFill>
        </w:rPr>
        <w:pict>
          <v:group id="Group 1498" o:spid="_x0000_s1027" o:spt="203" style="position:absolute;left:0pt;margin-left:234pt;margin-top:755.9pt;height:507.4pt;width:1.5pt;z-index:251659264;mso-width-relative:page;mso-height-relative:page;" coordsize="30,10575" o:gfxdata="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">
            <o:lock v:ext="edit" aspectratio="f"/>
            <v:line id="Line 1499" o:spid="_x0000_s1028" o:spt="20" style="position:absolute;left:30;top:0;height:468;width:0;" filled="f" stroked="t" coordsize="21600,21600" o:gfxdata="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O3c47gAAADaAAAA&#10;DwAAAAAAAAABACAAAAAiAAAAZHJzL2Rvd25yZXYueG1sUEsBAhQAFAAAAAgAh07iQDMvBZ47AAAA&#10;OQAAABAAAAAAAAAAAQAgAAAABwEAAGRycy9zaGFwZXhtbC54bWxQSwUGAAAAAAYABgBbAQAAsQMA&#10;AAAA&#10;">
              <v:path arrowok="t"/>
              <v:fill on="f" focussize="0,0"/>
              <v:stroke color="#000000" joinstyle="round" endarrow="classic" endarrowwidth="narrow" endarrowlength="long"/>
              <v:imagedata o:title=""/>
              <o:lock v:ext="edit" aspectratio="f"/>
            </v:line>
            <v:line id="Line 1500" o:spid="_x0000_s1029" o:spt="20" style="position:absolute;left:15;top:1275;height:468;width:0;" filled="f" stroked="t" coordsize="21600,21600" o:gfxdata="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D9ClLsAAADa&#10;AAAADwAAAAAAAAABACAAAAAiAAAAZHJzL2Rvd25yZXYueG1sUEsBAhQAFAAAAAgAh07iQDMvBZ47&#10;AAAAOQAAABAAAAAAAAAAAQAgAAAACgEAAGRycy9zaGFwZXhtbC54bWxQSwUGAAAAAAYABgBbAQAA&#10;tAMAAAAA&#10;">
              <v:path arrowok="t"/>
              <v:fill on="f" focussize="0,0"/>
              <v:stroke color="#000000" joinstyle="round" endarrow="classic" endarrowwidth="narrow" endarrowlength="long"/>
              <v:imagedata o:title=""/>
              <o:lock v:ext="edit" aspectratio="f"/>
            </v:line>
            <v:line id="Line 1501" o:spid="_x0000_s1030" o:spt="20" style="position:absolute;left:0;top:2523;height:468;width:0;" filled="f" stroked="t" coordsize="21600,21600" o:gfxdata="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3PnD7sAAADa&#10;AAAADwAAAAAAAAABACAAAAAiAAAAZHJzL2Rvd25yZXYueG1sUEsBAhQAFAAAAAgAh07iQDMvBZ47&#10;AAAAOQAAABAAAAAAAAAAAQAgAAAACgEAAGRycy9zaGFwZXhtbC54bWxQSwUGAAAAAAYABgBbAQAA&#10;tAMAAAAA&#10;">
              <v:path arrowok="t"/>
              <v:fill on="f" focussize="0,0"/>
              <v:stroke color="#000000" joinstyle="round" endarrow="classic" endarrowwidth="narrow" endarrowlength="long"/>
              <v:imagedata o:title=""/>
              <o:lock v:ext="edit" aspectratio="f"/>
            </v:line>
            <v:line id="Line 1502" o:spid="_x0000_s1031" o:spt="20" style="position:absolute;left:2;top:3791;height:468;width:0;" filled="f" stroked="t" coordsize="21600,21600" o:gfxdata="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Jp/e7sAAADa&#10;AAAADwAAAAAAAAABACAAAAAiAAAAZHJzL2Rvd25yZXYueG1sUEsBAhQAFAAAAAgAh07iQDMvBZ47&#10;AAAAOQAAABAAAAAAAAAAAQAgAAAACgEAAGRycy9zaGFwZXhtbC54bWxQSwUGAAAAAAYABgBbAQAA&#10;tAMAAAAA&#10;">
              <v:path arrowok="t"/>
              <v:fill on="f" focussize="0,0"/>
              <v:stroke color="#000000" joinstyle="round" endarrow="classic" endarrowwidth="narrow" endarrowlength="long"/>
              <v:imagedata o:title=""/>
              <o:lock v:ext="edit" aspectratio="f"/>
            </v:line>
            <v:line id="Line 1503" o:spid="_x0000_s1032" o:spt="20" style="position:absolute;left:0;top:5034;height:468;width:0;" filled="f" stroked="t" coordsize="21600,21600" o:gfxdata="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ba4LsAAADa&#10;AAAADwAAAAAAAAABACAAAAAiAAAAZHJzL2Rvd25yZXYueG1sUEsBAhQAFAAAAAgAh07iQDMvBZ47&#10;AAAAOQAAABAAAAAAAAAAAQAgAAAACgEAAGRycy9zaGFwZXhtbC54bWxQSwUGAAAAAAYABgBbAQAA&#10;tAMAAAAA&#10;">
              <v:path arrowok="t"/>
              <v:fill on="f" focussize="0,0"/>
              <v:stroke color="#000000" joinstyle="round" endarrow="classic" endarrowwidth="narrow" endarrowlength="long"/>
              <v:imagedata o:title=""/>
              <o:lock v:ext="edit" aspectratio="f"/>
            </v:line>
            <v:line id="Line 1504" o:spid="_x0000_s1033" o:spt="20" style="position:absolute;left:0;top:6282;height:468;width:0;" filled="f" stroked="t" coordsize="21600,21600" o:gfxdata="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wREl7sAAADa&#10;AAAADwAAAAAAAAABACAAAAAiAAAAZHJzL2Rvd25yZXYueG1sUEsBAhQAFAAAAAgAh07iQDMvBZ47&#10;AAAAOQAAABAAAAAAAAAAAQAgAAAACgEAAGRycy9zaGFwZXhtbC54bWxQSwUGAAAAAAYABgBbAQAA&#10;tAMAAAAA&#10;">
              <v:path arrowok="t"/>
              <v:fill on="f" focussize="0,0"/>
              <v:stroke color="#000000" joinstyle="round" endarrow="classic" endarrowwidth="narrow" endarrowlength="long"/>
              <v:imagedata o:title=""/>
              <o:lock v:ext="edit" aspectratio="f"/>
            </v:line>
            <v:line id="Line 1505" o:spid="_x0000_s1034" o:spt="20" style="position:absolute;left:0;top:7581;height:468;width:0;" filled="f" stroked="t" coordsize="21600,21600" o:gfxdata="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EjhDLsAAADa&#10;AAAADwAAAAAAAAABACAAAAAiAAAAZHJzL2Rvd25yZXYueG1sUEsBAhQAFAAAAAgAh07iQDMvBZ47&#10;AAAAOQAAABAAAAAAAAAAAQAgAAAACgEAAGRycy9zaGFwZXhtbC54bWxQSwUGAAAAAAYABgBbAQAA&#10;tAMAAAAA&#10;">
              <v:path arrowok="t"/>
              <v:fill on="f" focussize="0,0"/>
              <v:stroke color="#000000" joinstyle="round" endarrow="classic" endarrowwidth="narrow" endarrowlength="long"/>
              <v:imagedata o:title=""/>
              <o:lock v:ext="edit" aspectratio="f"/>
            </v:line>
            <v:line id="Line 1506" o:spid="_x0000_s1035" o:spt="20" style="position:absolute;left:0;top:8844;height:468;width:0;" filled="f" stroked="t" coordsize="21600,21600" o:gfxdata="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dd1frgAAADaAAAA&#10;DwAAAAAAAAABACAAAAAiAAAAZHJzL2Rvd25yZXYueG1sUEsBAhQAFAAAAAgAh07iQDMvBZ47AAAA&#10;OQAAABAAAAAAAAAAAQAgAAAABwEAAGRycy9zaGFwZXhtbC54bWxQSwUGAAAAAAYABgBbAQAAsQMA&#10;AAAA&#10;">
              <v:path arrowok="t"/>
              <v:fill on="f" focussize="0,0"/>
              <v:stroke color="#000000" joinstyle="round" endarrow="classic" endarrowwidth="narrow" endarrowlength="long"/>
              <v:imagedata o:title=""/>
              <o:lock v:ext="edit" aspectratio="f"/>
            </v:line>
            <v:line id="Line 1507" o:spid="_x0000_s1036" o:spt="20" style="position:absolute;left:0;top:10107;height:468;width:0;" filled="f" stroked="t" coordsize="21600,21600" o:gfxdata="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pvQ5bsAAADa&#10;AAAADwAAAAAAAAABACAAAAAiAAAAZHJzL2Rvd25yZXYueG1sUEsBAhQAFAAAAAgAh07iQDMvBZ47&#10;AAAAOQAAABAAAAAAAAAAAQAgAAAACgEAAGRycy9zaGFwZXhtbC54bWxQSwUGAAAAAAYABgBbAQAA&#10;tAMAAAAA&#10;">
              <v:path arrowok="t"/>
              <v:fill on="f" focussize="0,0"/>
              <v:stroke color="#000000" joinstyle="round" endarrow="classic" endarrowwidth="narrow" endarrowlength="long"/>
              <v:imagedata o:title=""/>
              <o:lock v:ext="edit" aspectratio="f"/>
            </v:line>
          </v:group>
        </w:pict>
      </w:r>
    </w:p>
    <w:sectPr>
      <w:headerReference r:id="rId12" w:type="default"/>
      <w:pgSz w:w="11906" w:h="16838"/>
      <w:pgMar w:top="1089" w:right="924" w:bottom="468" w:left="902" w:header="397" w:footer="284" w:gutter="0"/>
      <w:pgBorders w:offsetFrom="page">
        <w:top w:val="none" w:sz="0" w:space="0"/>
        <w:left w:val="none" w:sz="0" w:space="0"/>
        <w:bottom w:val="none" w:sz="0" w:space="0"/>
        <w:right w:val="none" w:sz="0" w:space="0"/>
      </w:pgBorders>
      <w:pgNumType w:start="2"/>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刘新元" w:date="2026-07-16T22:53:39Z" w:initials="">
    <w:p w14:paraId="39E50326">
      <w:pPr>
        <w:shd w:val="clear" w:color="auto" w:fill="F0FFF0"/>
        <w:spacing w:before="80" w:after="80" w:line="312" w:lineRule="auto"/>
      </w:pPr>
      <w:r>
        <w:rPr>
          <w:rFonts w:ascii="Arial" w:hAnsi="Arial" w:eastAsia="黑体"/>
          <w:b/>
          <w:color w:val="00783C"/>
          <w:sz w:val="22"/>
        </w:rPr>
        <w:t>【销售部批注】</w:t>
      </w:r>
      <w:r>
        <w:rPr>
          <w:rFonts w:ascii="Arial" w:hAnsi="Arial" w:eastAsia="黑体"/>
          <w:color w:val="00783C"/>
          <w:sz w:val="22"/>
        </w:rPr>
        <w:t>缺少客户投诉多渠道统一入口。制度默认投诉从销售进入，但客户可能直接找技术支持、发公司邮箱、甚至在社交媒体发帖。建议：增加"全渠道投诉归口规则"——所有渠道收到的客户负面反馈，无论谁收到，1小时内转发销售部统一登记；技术/生产/研发不得自行承诺客户任何补救方案。</w:t>
      </w:r>
    </w:p>
    <w:p w14:paraId="40040385">
      <w:pPr>
        <w:pStyle w:val="11"/>
        <w:numPr>
          <w:numId w:val="0"/>
        </w:numPr>
        <w:ind w:leftChars="200"/>
      </w:pPr>
    </w:p>
  </w:comment>
  <w:comment w:id="1" w:author="刘新元" w:date="2026-07-16T22:53:16Z" w:initials="">
    <w:p w14:paraId="1E05986A">
      <w:pPr>
        <w:shd w:val="clear" w:color="auto" w:fill="FFF0F0"/>
        <w:spacing w:before="80" w:after="80" w:line="312" w:lineRule="auto"/>
      </w:pPr>
      <w:r>
        <w:rPr>
          <w:rFonts w:ascii="Arial" w:hAnsi="Arial" w:eastAsia="黑体"/>
          <w:b/>
          <w:color w:val="C81E1E"/>
          <w:sz w:val="22"/>
        </w:rPr>
        <w:t>【销售部批注】</w:t>
      </w:r>
      <w:r>
        <w:rPr>
          <w:rFonts w:ascii="Arial" w:hAnsi="Arial" w:eastAsia="黑体"/>
          <w:color w:val="C81E1E"/>
          <w:sz w:val="22"/>
        </w:rPr>
        <w:t>飞书+钉钉双平台同一流程，操作冗余。一个客诉要同时操作两个平台——飞书走表单审批、钉钉走群沟通，销售在两个APP之间来回切换，信息容易遗漏、版本不同步。建议：统一到一个平台（推荐全部走飞书，审批流+群沟通一体化），表单提交和群创建一步完成，不要分开操作。</w:t>
      </w:r>
    </w:p>
    <w:p w14:paraId="63D20A24">
      <w:pPr>
        <w:pStyle w:val="11"/>
        <w:numPr>
          <w:numId w:val="0"/>
        </w:numPr>
        <w:ind w:leftChars="200"/>
      </w:pPr>
    </w:p>
  </w:comment>
  <w:comment w:id="2" w:author="刘新元" w:date="2026-07-16T22:52:11Z" w:initials="">
    <w:p w14:paraId="23F84607">
      <w:pPr>
        <w:shd w:val="clear" w:color="auto" w:fill="FFF0F0"/>
        <w:spacing w:before="80" w:after="80" w:line="312" w:lineRule="auto"/>
      </w:pPr>
      <w:r>
        <w:rPr>
          <w:rFonts w:ascii="Arial" w:hAnsi="Arial" w:eastAsia="黑体"/>
          <w:b/>
          <w:color w:val="C81E1E"/>
          <w:sz w:val="22"/>
        </w:rPr>
        <w:t>【销售部批注】</w:t>
      </w:r>
      <w:r>
        <w:rPr>
          <w:rFonts w:ascii="Arial" w:hAnsi="Arial" w:eastAsia="黑体"/>
          <w:color w:val="C81E1E"/>
          <w:sz w:val="22"/>
        </w:rPr>
        <w:t>外部闭环要求"书面确认无异议"太死板。客户尤其国内中小客户极少愿意正式签字回函，口头认可后就不回复了。建议改为分级闭环确认标准：一级</w:t>
      </w:r>
      <w:r>
        <w:rPr>
          <w:rFonts w:hint="default" w:ascii="Arial" w:hAnsi="Arial" w:eastAsia="黑体"/>
          <w:color w:val="C81E1E"/>
          <w:sz w:val="22"/>
          <w:lang w:val="en-US"/>
        </w:rPr>
        <w:t>/</w:t>
      </w:r>
      <w:r>
        <w:rPr>
          <w:rFonts w:hint="eastAsia" w:ascii="Arial" w:hAnsi="Arial" w:eastAsia="黑体"/>
          <w:color w:val="C81E1E"/>
          <w:sz w:val="22"/>
          <w:lang w:val="en-US" w:eastAsia="zh-CN"/>
        </w:rPr>
        <w:t>二级</w:t>
      </w:r>
      <w:r>
        <w:rPr>
          <w:rFonts w:ascii="Arial" w:hAnsi="Arial" w:eastAsia="黑体"/>
          <w:color w:val="C81E1E"/>
          <w:sz w:val="22"/>
        </w:rPr>
        <w:t>客诉书面</w:t>
      </w:r>
      <w:r>
        <w:rPr>
          <w:rFonts w:hint="default" w:ascii="Arial" w:hAnsi="Arial" w:eastAsia="黑体"/>
          <w:color w:val="C81E1E"/>
          <w:sz w:val="22"/>
          <w:lang w:val="en-US"/>
        </w:rPr>
        <w:t>/</w:t>
      </w:r>
      <w:r>
        <w:rPr>
          <w:rFonts w:hint="eastAsia" w:ascii="Arial" w:hAnsi="Arial" w:eastAsia="黑体"/>
          <w:color w:val="C81E1E"/>
          <w:sz w:val="22"/>
          <w:lang w:val="en-US" w:eastAsia="zh-CN"/>
        </w:rPr>
        <w:t>线上</w:t>
      </w:r>
      <w:r>
        <w:rPr>
          <w:rFonts w:ascii="Arial" w:hAnsi="Arial" w:eastAsia="黑体"/>
          <w:color w:val="C81E1E"/>
          <w:sz w:val="22"/>
        </w:rPr>
        <w:t>确认（邮件/盖章函</w:t>
      </w:r>
      <w:r>
        <w:rPr>
          <w:rFonts w:hint="eastAsia" w:ascii="Arial" w:hAnsi="Arial" w:eastAsia="黑体"/>
          <w:color w:val="C81E1E"/>
          <w:sz w:val="22"/>
          <w:lang w:val="en-US" w:eastAsia="zh-CN"/>
        </w:rPr>
        <w:t>/</w:t>
      </w:r>
      <w:r>
        <w:rPr>
          <w:rFonts w:ascii="Arial" w:hAnsi="Arial" w:eastAsia="黑体"/>
          <w:color w:val="C81E1E"/>
          <w:sz w:val="22"/>
        </w:rPr>
        <w:t>微信聊天记录截图归档）；三级客诉口头确认+销售记录备忘即可，超7天客户无新异议自动视为认可。</w:t>
      </w:r>
    </w:p>
    <w:p w14:paraId="04E7E8E5">
      <w:pPr>
        <w:pStyle w:val="11"/>
        <w:numPr>
          <w:numId w:val="0"/>
        </w:numPr>
      </w:pPr>
    </w:p>
  </w:comment>
  <w:comment w:id="3" w:author="刘新元" w:date="2026-07-16T22:50:14Z" w:initials="">
    <w:p w14:paraId="12299BC2">
      <w:pPr>
        <w:shd w:val="clear" w:color="auto" w:fill="FFF0F0"/>
        <w:spacing w:before="80" w:after="80" w:line="312" w:lineRule="auto"/>
        <w:rPr>
          <w:rFonts w:ascii="Arial" w:hAnsi="Arial" w:eastAsia="黑体"/>
          <w:color w:val="C81E1E"/>
          <w:sz w:val="22"/>
        </w:rPr>
      </w:pPr>
      <w:r>
        <w:rPr>
          <w:rFonts w:ascii="Arial" w:hAnsi="Arial" w:eastAsia="黑体"/>
          <w:b/>
          <w:color w:val="C81E1E"/>
          <w:sz w:val="22"/>
        </w:rPr>
        <w:t>【销售部批注】</w:t>
      </w:r>
      <w:r>
        <w:rPr>
          <w:rFonts w:ascii="Arial" w:hAnsi="Arial" w:eastAsia="黑体"/>
          <w:color w:val="C81E1E"/>
          <w:sz w:val="22"/>
        </w:rPr>
        <w:t>响应时限对外出</w:t>
      </w:r>
      <w:r>
        <w:rPr>
          <w:rFonts w:hint="eastAsia" w:ascii="Arial" w:hAnsi="Arial" w:eastAsia="黑体"/>
          <w:color w:val="C81E1E"/>
          <w:sz w:val="22"/>
          <w:lang w:val="en-US" w:eastAsia="zh-CN"/>
        </w:rPr>
        <w:t>办公场景较多</w:t>
      </w:r>
      <w:r>
        <w:rPr>
          <w:rFonts w:ascii="Arial" w:hAnsi="Arial" w:eastAsia="黑体"/>
          <w:color w:val="C81E1E"/>
          <w:sz w:val="22"/>
        </w:rPr>
        <w:t>的销售不现实。15分钟内要完成信息收集+分级判定+建群+提交反馈单，实操落地率极低。建议改为"接收确认时限+流程发起时限"双轨制：一级</w:t>
      </w:r>
      <w:r>
        <w:rPr>
          <w:rFonts w:hint="eastAsia" w:ascii="Arial" w:hAnsi="Arial" w:eastAsia="黑体"/>
          <w:color w:val="C81E1E"/>
          <w:sz w:val="22"/>
          <w:lang w:val="en-US" w:eastAsia="zh-CN"/>
        </w:rPr>
        <w:t>二级30</w:t>
      </w:r>
      <w:r>
        <w:rPr>
          <w:rFonts w:ascii="Arial" w:hAnsi="Arial" w:eastAsia="黑体"/>
          <w:color w:val="C81E1E"/>
          <w:sz w:val="22"/>
        </w:rPr>
        <w:t>分钟内电话/消息确认已收到，2小时内完成</w:t>
      </w:r>
      <w:r>
        <w:rPr>
          <w:rFonts w:hint="eastAsia" w:ascii="Arial" w:hAnsi="Arial" w:eastAsia="黑体"/>
          <w:color w:val="C81E1E"/>
          <w:sz w:val="22"/>
          <w:lang w:val="en-US" w:eastAsia="zh-CN"/>
        </w:rPr>
        <w:t>信息收集等</w:t>
      </w:r>
      <w:r>
        <w:rPr>
          <w:rFonts w:ascii="Arial" w:hAnsi="Arial" w:eastAsia="黑体"/>
          <w:color w:val="C81E1E"/>
          <w:sz w:val="22"/>
        </w:rPr>
        <w:t>流程发起；三级</w:t>
      </w:r>
      <w:r>
        <w:rPr>
          <w:rFonts w:hint="eastAsia" w:ascii="Arial" w:hAnsi="Arial" w:eastAsia="黑体"/>
          <w:color w:val="C81E1E"/>
          <w:sz w:val="22"/>
          <w:lang w:val="en-US" w:eastAsia="zh-CN"/>
        </w:rPr>
        <w:t>1</w:t>
      </w:r>
      <w:r>
        <w:rPr>
          <w:rFonts w:ascii="Arial" w:hAnsi="Arial" w:eastAsia="黑体"/>
          <w:color w:val="C81E1E"/>
          <w:sz w:val="22"/>
        </w:rPr>
        <w:t>小时确认</w:t>
      </w:r>
      <w:r>
        <w:rPr>
          <w:rFonts w:hint="eastAsia" w:ascii="Arial" w:hAnsi="Arial" w:eastAsia="黑体"/>
          <w:color w:val="C81E1E"/>
          <w:sz w:val="22"/>
          <w:lang w:val="en-US" w:eastAsia="zh-CN"/>
        </w:rPr>
        <w:t>收到</w:t>
      </w:r>
      <w:r>
        <w:rPr>
          <w:rFonts w:ascii="Arial" w:hAnsi="Arial" w:eastAsia="黑体"/>
          <w:color w:val="C81E1E"/>
          <w:sz w:val="22"/>
        </w:rPr>
        <w:t>，</w:t>
      </w:r>
      <w:r>
        <w:rPr>
          <w:rFonts w:hint="eastAsia" w:ascii="Arial" w:hAnsi="Arial" w:eastAsia="黑体"/>
          <w:color w:val="C81E1E"/>
          <w:sz w:val="22"/>
          <w:lang w:val="en-US" w:eastAsia="zh-CN"/>
        </w:rPr>
        <w:t>4</w:t>
      </w:r>
      <w:r>
        <w:rPr>
          <w:rFonts w:ascii="Arial" w:hAnsi="Arial" w:eastAsia="黑体"/>
          <w:color w:val="C81E1E"/>
          <w:sz w:val="22"/>
        </w:rPr>
        <w:t>小时发起。</w:t>
      </w:r>
    </w:p>
    <w:p w14:paraId="0DA38479">
      <w:pPr>
        <w:shd w:val="clear" w:color="auto" w:fill="FFF0F0"/>
        <w:spacing w:before="80" w:after="80" w:line="312" w:lineRule="auto"/>
        <w:rPr>
          <w:rFonts w:hint="default" w:ascii="Times New Roman" w:hAnsi="Times New Roman" w:eastAsia="黑体"/>
          <w:b w:val="0"/>
          <w:sz w:val="24"/>
          <w:lang w:val="en-US" w:eastAsia="zh-CN"/>
        </w:rPr>
      </w:pPr>
      <w:r>
        <w:rPr>
          <w:rFonts w:ascii="Arial" w:hAnsi="Arial" w:eastAsia="黑体"/>
          <w:color w:val="C81E1E"/>
          <w:sz w:val="22"/>
        </w:rPr>
        <w:t>增加兜底：</w:t>
      </w:r>
      <w:r>
        <w:rPr>
          <w:rFonts w:hint="eastAsia" w:ascii="Arial" w:hAnsi="Arial" w:eastAsia="黑体"/>
          <w:color w:val="C81E1E"/>
          <w:sz w:val="22"/>
          <w:lang w:val="en-US" w:eastAsia="zh-CN"/>
        </w:rPr>
        <w:t>特殊原因</w:t>
      </w:r>
      <w:r>
        <w:rPr>
          <w:rFonts w:ascii="Arial" w:hAnsi="Arial" w:eastAsia="黑体"/>
          <w:color w:val="C81E1E"/>
          <w:sz w:val="22"/>
        </w:rPr>
        <w:t>无法操作时，授权销售支持部/大区经理代为发起，销售到岗后</w:t>
      </w:r>
      <w:r>
        <w:rPr>
          <w:rFonts w:hint="eastAsia" w:ascii="Arial" w:hAnsi="Arial" w:eastAsia="黑体"/>
          <w:color w:val="C81E1E"/>
          <w:sz w:val="22"/>
          <w:lang w:val="en-US" w:eastAsia="zh-CN"/>
        </w:rPr>
        <w:t>飞书流程评论确认。</w:t>
      </w:r>
    </w:p>
    <w:p w14:paraId="5608343F">
      <w:pPr>
        <w:pStyle w:val="11"/>
        <w:numPr>
          <w:numId w:val="0"/>
        </w:numPr>
        <w:ind w:leftChars="200"/>
      </w:pPr>
    </w:p>
  </w:comment>
  <w:comment w:id="4" w:author="刘新元" w:date="2026-07-16T22:49:48Z" w:initials="">
    <w:p w14:paraId="777EDC62">
      <w:pPr>
        <w:shd w:val="clear" w:color="auto" w:fill="FFFBE6"/>
        <w:spacing w:before="80" w:after="80" w:line="312" w:lineRule="auto"/>
      </w:pPr>
      <w:r>
        <w:rPr>
          <w:rFonts w:ascii="Arial" w:hAnsi="Arial" w:eastAsia="黑体"/>
          <w:b/>
          <w:color w:val="B46400"/>
          <w:sz w:val="22"/>
        </w:rPr>
        <w:t>【销售部批注】</w:t>
      </w:r>
      <w:r>
        <w:rPr>
          <w:rFonts w:ascii="Arial" w:hAnsi="Arial" w:eastAsia="黑体"/>
          <w:color w:val="B46400"/>
          <w:sz w:val="22"/>
        </w:rPr>
        <w:t>三级客诉"每半个月同步一次"太慢。半个月才给客户一次进度更新，客户会觉得"你们在拖"。建议改为"首次响应后3天内给初步结论，之后每周同步一次"。小问题更要快，大问题才需要长周期。</w:t>
      </w:r>
    </w:p>
    <w:p w14:paraId="2600E44F">
      <w:pPr>
        <w:pStyle w:val="11"/>
        <w:numPr>
          <w:numId w:val="0"/>
        </w:numPr>
      </w:pPr>
    </w:p>
  </w:comment>
  <w:comment w:id="5" w:author="刘新元" w:date="2026-07-16T22:49:18Z" w:initials="">
    <w:p w14:paraId="759B0E07">
      <w:pPr>
        <w:shd w:val="clear" w:color="auto" w:fill="FFF0F0"/>
        <w:spacing w:before="80" w:after="80" w:line="312" w:lineRule="auto"/>
      </w:pPr>
      <w:r>
        <w:rPr>
          <w:rFonts w:ascii="Arial" w:hAnsi="Arial" w:eastAsia="黑体"/>
          <w:b/>
          <w:color w:val="C81E1E"/>
          <w:sz w:val="22"/>
        </w:rPr>
        <w:t>【销售部批注】</w:t>
      </w:r>
      <w:r>
        <w:rPr>
          <w:rFonts w:ascii="Arial" w:hAnsi="Arial" w:eastAsia="黑体"/>
          <w:color w:val="C81E1E"/>
          <w:sz w:val="22"/>
        </w:rPr>
        <w:t>分级判定让销售"踩坑"。销售不是质量/合规专业人，把分级初判压给销售→要么过度升级（浪费资源、吓到客户），要么误判（漏掉风险）。默认"往高靠"会导致大量二级客诉被当成一级处理，消耗公司资源。建议改为"销售初判+QA 30分钟内复核定级"：销售只做初步标注（勾选疑似等级），不做终判；QA在30分钟内完成正式定级并钉钉群公示；销售与QA定级不一致时取QA判定，但销售可在24小时内申请复议（附客户视角理由）。</w:t>
      </w:r>
    </w:p>
    <w:p w14:paraId="4022B7A6">
      <w:pPr>
        <w:pStyle w:val="11"/>
        <w:numPr>
          <w:numId w:val="0"/>
        </w:numPr>
      </w:pPr>
    </w:p>
  </w:comment>
  <w:comment w:id="6" w:author="刘新元" w:date="2026-07-16T22:48:49Z" w:initials="">
    <w:p w14:paraId="3FBEFAFD">
      <w:pPr>
        <w:shd w:val="clear" w:color="auto" w:fill="F0FFF0"/>
        <w:spacing w:before="80" w:after="80" w:line="312" w:lineRule="auto"/>
      </w:pPr>
      <w:r>
        <w:rPr>
          <w:rFonts w:ascii="Arial" w:hAnsi="Arial" w:eastAsia="黑体"/>
          <w:b/>
          <w:color w:val="00783C"/>
          <w:sz w:val="22"/>
        </w:rPr>
        <w:t>【销售部批注】</w:t>
      </w:r>
      <w:r>
        <w:rPr>
          <w:rFonts w:ascii="Arial" w:hAnsi="Arial" w:eastAsia="黑体"/>
          <w:color w:val="00783C"/>
          <w:sz w:val="22"/>
        </w:rPr>
        <w:t>投诉率公式用"订单总数"作分母偏粗。宝锐订单大小差异极大——一个1000元的小样单和一个50万元的大客户年度合同单，在公式里权重相同。建议改为"双维度投诉率"：投诉率（次数维度）=投诉次数÷订单总数×100%（保留，看频次）；投诉率（金额维度）=投诉涉及订单金额÷总销售额×100%（新增，看影响面）。月度复盘两张图一起看。</w:t>
      </w:r>
    </w:p>
    <w:p w14:paraId="39426328">
      <w:pPr>
        <w:pStyle w:val="11"/>
        <w:numPr>
          <w:numId w:val="0"/>
        </w:numPr>
        <w:ind w:leftChars="200"/>
      </w:pPr>
    </w:p>
  </w:comment>
  <w:comment w:id="7" w:author="刘新元" w:date="2026-07-16T22:48:14Z" w:initials="">
    <w:p w14:paraId="7AB3ECE3">
      <w:pPr>
        <w:shd w:val="clear" w:color="auto" w:fill="FFF0F0"/>
        <w:spacing w:before="80" w:after="80" w:line="312" w:lineRule="auto"/>
        <w:rPr>
          <w:rFonts w:ascii="Arial" w:hAnsi="Arial" w:eastAsia="黑体"/>
          <w:color w:val="C81E1E"/>
          <w:sz w:val="22"/>
        </w:rPr>
      </w:pPr>
      <w:r>
        <w:rPr>
          <w:rFonts w:ascii="Arial" w:hAnsi="Arial" w:eastAsia="黑体"/>
          <w:b/>
          <w:color w:val="C81E1E"/>
          <w:sz w:val="22"/>
        </w:rPr>
        <w:t>【销售部批注】</w:t>
      </w:r>
      <w:r>
        <w:rPr>
          <w:rFonts w:ascii="Arial" w:hAnsi="Arial" w:eastAsia="黑体"/>
          <w:color w:val="C81E1E"/>
          <w:sz w:val="22"/>
        </w:rPr>
        <w:t>双重闭环原则需要与外部闭环分级确认标准配套调整。如果内部闭环（QA整改验证）需要数月，而外部闭环要求客户书面确认，客诉会长期挂账无法结案。建议增加机制：QA内部闭环周期超过30天时，销售可先完成"阶段性外部闭环"（客户认可当前处理方案），QA整改完成后做最终闭环确认。</w:t>
      </w:r>
    </w:p>
    <w:p w14:paraId="522306C7">
      <w:pPr>
        <w:shd w:val="clear" w:color="auto" w:fill="FFF0F0"/>
        <w:spacing w:before="80" w:after="80" w:line="312" w:lineRule="auto"/>
        <w:rPr>
          <w:rFonts w:hint="default" w:ascii="Arial" w:hAnsi="Arial" w:eastAsia="黑体"/>
          <w:color w:val="C81E1E"/>
          <w:sz w:val="22"/>
          <w:lang w:val="en-US" w:eastAsia="zh-CN"/>
        </w:rPr>
      </w:pPr>
      <w:r>
        <w:rPr>
          <w:rFonts w:hint="eastAsia" w:ascii="Arial" w:hAnsi="Arial" w:eastAsia="黑体"/>
          <w:color w:val="C81E1E"/>
          <w:sz w:val="22"/>
          <w:lang w:val="en-US" w:eastAsia="zh-CN"/>
        </w:rPr>
        <w:t>销售闭环（接到客户诉➡客户现实需求被满足，关闭），QA内部闭环（接到客诉➡完成调查、整改（方案+报告）、试运行，关闭）</w:t>
      </w:r>
    </w:p>
    <w:p w14:paraId="44414901">
      <w:pPr>
        <w:pStyle w:val="11"/>
        <w:numPr>
          <w:numId w:val="0"/>
        </w:numPr>
      </w:pPr>
    </w:p>
  </w:comment>
  <w:comment w:id="8" w:author="刘新元" w:date="2026-07-16T22:47:38Z" w:initials="">
    <w:p w14:paraId="28D567C0">
      <w:pPr>
        <w:shd w:val="clear" w:color="auto" w:fill="FFF0F0"/>
        <w:spacing w:before="80" w:after="80" w:line="312" w:lineRule="auto"/>
      </w:pPr>
      <w:r>
        <w:rPr>
          <w:rFonts w:ascii="Arial" w:hAnsi="Arial" w:eastAsia="黑体"/>
          <w:b/>
          <w:color w:val="C81E1E"/>
          <w:sz w:val="22"/>
        </w:rPr>
        <w:t>【销售部批注】</w:t>
      </w:r>
      <w:r>
        <w:rPr>
          <w:rFonts w:ascii="Arial" w:hAnsi="Arial" w:eastAsia="黑体"/>
          <w:color w:val="C81E1E"/>
          <w:sz w:val="22"/>
        </w:rPr>
        <w:t>响应时限需改为双轨制（确认时限+发起时限）。</w:t>
      </w:r>
    </w:p>
    <w:p w14:paraId="33145BCF">
      <w:pPr>
        <w:pStyle w:val="11"/>
        <w:numPr>
          <w:numId w:val="0"/>
        </w:numPr>
      </w:pPr>
    </w:p>
  </w:comment>
  <w:comment w:id="9" w:author="刘新元" w:date="2026-07-16T22:45:53Z" w:initials="">
    <w:p w14:paraId="79B3D7C2">
      <w:pPr>
        <w:shd w:val="clear" w:color="auto" w:fill="FFFBE6"/>
        <w:spacing w:before="80" w:after="80" w:line="312" w:lineRule="auto"/>
        <w:rPr>
          <w:rFonts w:hint="default" w:eastAsia="黑体"/>
          <w:lang w:val="en-US" w:eastAsia="zh-CN"/>
        </w:rPr>
      </w:pPr>
      <w:r>
        <w:rPr>
          <w:rFonts w:ascii="Arial" w:hAnsi="Arial" w:eastAsia="黑体"/>
          <w:b/>
          <w:color w:val="B46400"/>
          <w:sz w:val="22"/>
        </w:rPr>
        <w:t>【销售部批注】</w:t>
      </w:r>
      <w:r>
        <w:rPr>
          <w:rFonts w:ascii="Arial" w:hAnsi="Arial" w:eastAsia="黑体"/>
          <w:color w:val="B46400"/>
          <w:sz w:val="22"/>
        </w:rPr>
        <w:t>"本次投诉产生全部成本由责任部门承担"表述模糊。"全部成本"定义不清——换货产品成本？物流费？销售人工？客户索赔？生产/研发被罚成本后可能消极配合后续处理→内部矛盾激化→销售夹在中间两头受气。建议改为："客诉直接物料成本（换货产品+物流）由责任部门承担；客户协商补偿/索赔金额由公司统一承担</w:t>
      </w:r>
      <w:r>
        <w:rPr>
          <w:rFonts w:hint="default" w:ascii="Arial" w:hAnsi="Arial" w:eastAsia="黑体"/>
          <w:color w:val="B46400"/>
          <w:sz w:val="22"/>
          <w:lang w:val="en-US"/>
        </w:rPr>
        <w:t>/</w:t>
      </w:r>
      <w:r>
        <w:rPr>
          <w:rFonts w:hint="eastAsia" w:ascii="Arial" w:hAnsi="Arial" w:eastAsia="黑体"/>
          <w:color w:val="B46400"/>
          <w:sz w:val="22"/>
          <w:lang w:val="en-US" w:eastAsia="zh-CN"/>
        </w:rPr>
        <w:t>纳入关联部门绩效</w:t>
      </w:r>
      <w:r>
        <w:rPr>
          <w:rFonts w:hint="default" w:ascii="Arial" w:hAnsi="Arial" w:eastAsia="黑体"/>
          <w:color w:val="B46400"/>
          <w:sz w:val="22"/>
          <w:lang w:val="en-US" w:eastAsia="zh-CN"/>
        </w:rPr>
        <w:t>/</w:t>
      </w:r>
      <w:r>
        <w:rPr>
          <w:rFonts w:ascii="Arial" w:hAnsi="Arial" w:eastAsia="黑体"/>
          <w:color w:val="B46400"/>
          <w:sz w:val="22"/>
        </w:rPr>
        <w:t>纳入QA预算池"。</w:t>
      </w:r>
      <w:r>
        <w:rPr>
          <w:rFonts w:hint="eastAsia" w:ascii="Arial" w:hAnsi="Arial" w:eastAsia="黑体"/>
          <w:color w:val="B46400"/>
          <w:sz w:val="22"/>
          <w:highlight w:val="cyan"/>
          <w:lang w:val="en-US" w:eastAsia="zh-CN"/>
        </w:rPr>
        <w:t>或损失记录在现阶段仅做记录，不做考核</w:t>
      </w:r>
      <w:r>
        <w:rPr>
          <w:rFonts w:hint="eastAsia" w:ascii="Arial" w:hAnsi="Arial" w:eastAsia="黑体"/>
          <w:color w:val="B46400"/>
          <w:sz w:val="22"/>
          <w:lang w:val="en-US" w:eastAsia="zh-CN"/>
        </w:rPr>
        <w:t>。</w:t>
      </w:r>
    </w:p>
    <w:p w14:paraId="5D6E88C6">
      <w:pPr>
        <w:pStyle w:val="11"/>
        <w:numPr>
          <w:numId w:val="0"/>
        </w:numPr>
      </w:pPr>
    </w:p>
  </w:comment>
  <w:comment w:id="10" w:author="刘新元" w:date="2026-07-16T22:45:08Z" w:initials="">
    <w:p w14:paraId="5F47940E">
      <w:pPr>
        <w:shd w:val="clear" w:color="auto" w:fill="FFF0F0"/>
        <w:spacing w:before="80" w:after="80" w:line="312" w:lineRule="auto"/>
      </w:pPr>
      <w:r>
        <w:rPr>
          <w:rFonts w:ascii="Arial" w:hAnsi="Arial" w:eastAsia="黑体"/>
          <w:b/>
          <w:color w:val="C81E1E"/>
          <w:sz w:val="22"/>
        </w:rPr>
        <w:t>【销售部批注】</w:t>
      </w:r>
      <w:r>
        <w:rPr>
          <w:rFonts w:ascii="Arial" w:hAnsi="Arial" w:eastAsia="黑体"/>
          <w:color w:val="C81E1E"/>
          <w:sz w:val="22"/>
        </w:rPr>
        <w:t>外部闭环"书面确认无异议"需改为分级确认标准。</w:t>
      </w:r>
    </w:p>
    <w:p w14:paraId="59780E4E">
      <w:pPr>
        <w:pStyle w:val="11"/>
        <w:numPr>
          <w:numId w:val="0"/>
        </w:numPr>
      </w:pPr>
    </w:p>
  </w:comment>
  <w:comment w:id="11" w:author="刘新元" w:date="2026-07-16T22:44:43Z" w:initials="">
    <w:p w14:paraId="141367A0">
      <w:pPr>
        <w:shd w:val="clear" w:color="auto" w:fill="FFF0F0"/>
        <w:spacing w:before="80" w:after="80" w:line="312" w:lineRule="auto"/>
        <w:rPr>
          <w:rFonts w:hint="default" w:ascii="Times New Roman" w:hAnsi="Times New Roman" w:eastAsia="黑体"/>
          <w:b w:val="0"/>
          <w:sz w:val="24"/>
          <w:lang w:val="en-US" w:eastAsia="zh-CN"/>
        </w:rPr>
      </w:pPr>
      <w:r>
        <w:rPr>
          <w:rFonts w:ascii="Arial" w:hAnsi="Arial" w:eastAsia="黑体"/>
          <w:b/>
          <w:color w:val="C81E1E"/>
          <w:sz w:val="22"/>
        </w:rPr>
        <w:t>【销售部批注】</w:t>
      </w:r>
      <w:r>
        <w:rPr>
          <w:rFonts w:hint="eastAsia" w:ascii="Arial" w:hAnsi="Arial" w:eastAsia="黑体"/>
          <w:b/>
          <w:color w:val="C81E1E"/>
          <w:sz w:val="22"/>
          <w:lang w:val="en-US" w:eastAsia="zh-CN"/>
        </w:rPr>
        <w:t>研发1个工作日内完成根因分析，是否现实？一个工作日从何时开始计算</w:t>
      </w:r>
    </w:p>
    <w:p w14:paraId="3B1D2E6B">
      <w:pPr>
        <w:pStyle w:val="11"/>
        <w:numPr>
          <w:numId w:val="0"/>
        </w:numPr>
      </w:pPr>
    </w:p>
  </w:comment>
  <w:comment w:id="12" w:author="刘新元" w:date="2026-07-16T22:44:25Z" w:initials="">
    <w:p w14:paraId="3A87BE18">
      <w:pPr>
        <w:shd w:val="clear" w:color="auto" w:fill="FFF0F0"/>
        <w:spacing w:before="80" w:after="80" w:line="312" w:lineRule="auto"/>
        <w:rPr>
          <w:rFonts w:ascii="Times New Roman" w:hAnsi="Times New Roman" w:eastAsia="宋体"/>
          <w:b w:val="0"/>
          <w:sz w:val="24"/>
        </w:rPr>
      </w:pPr>
      <w:r>
        <w:rPr>
          <w:rFonts w:ascii="Arial" w:hAnsi="Arial" w:eastAsia="黑体"/>
          <w:b/>
          <w:color w:val="C81E1E"/>
          <w:sz w:val="22"/>
        </w:rPr>
        <w:t>【销售部批注】</w:t>
      </w:r>
      <w:r>
        <w:rPr>
          <w:rFonts w:hint="eastAsia" w:ascii="Arial" w:hAnsi="Arial" w:eastAsia="黑体"/>
          <w:b/>
          <w:color w:val="C81E1E"/>
          <w:sz w:val="22"/>
          <w:lang w:val="en-US" w:eastAsia="zh-CN"/>
        </w:rPr>
        <w:t>生产提前2个工作日是什么操作，从何时开始计时？</w:t>
      </w:r>
    </w:p>
    <w:p w14:paraId="4270E7F8">
      <w:pPr>
        <w:pStyle w:val="11"/>
        <w:numPr>
          <w:numId w:val="0"/>
        </w:numPr>
      </w:pPr>
    </w:p>
  </w:comment>
  <w:comment w:id="13" w:author="刘新元" w:date="2026-07-16T22:43:12Z" w:initials="">
    <w:p w14:paraId="59AED27A">
      <w:pPr>
        <w:shd w:val="clear" w:color="auto" w:fill="F0FFF0"/>
        <w:spacing w:before="80" w:after="80" w:line="312" w:lineRule="auto"/>
      </w:pPr>
      <w:r>
        <w:rPr>
          <w:rFonts w:ascii="Arial" w:hAnsi="Arial" w:eastAsia="黑体"/>
          <w:b/>
          <w:color w:val="00783C"/>
          <w:sz w:val="22"/>
        </w:rPr>
        <w:t>【销售部批注】</w:t>
      </w:r>
      <w:r>
        <w:rPr>
          <w:rFonts w:ascii="Arial" w:hAnsi="Arial" w:eastAsia="黑体"/>
          <w:color w:val="00783C"/>
          <w:sz w:val="22"/>
        </w:rPr>
        <w:t>被动结案条件缺少「客户明确拒绝配合验证」的情形。实操中常见：客户口头投诉了但拒绝提供样品/检测报告/实验条件给公司验证，公司没法自查，流程卡死。建议增加第4条：「客户拒绝提供验证所需信息/样品，经销售2次书面催促后仍不配合，QA评估后可被动结案，台账标注客户未配合验证」。</w:t>
      </w:r>
    </w:p>
    <w:p w14:paraId="65566151">
      <w:pPr>
        <w:pStyle w:val="11"/>
        <w:numPr>
          <w:numId w:val="0"/>
        </w:numPr>
      </w:pPr>
    </w:p>
  </w:comment>
  <w:comment w:id="14" w:author="刘新元" w:date="2026-07-16T22:42:52Z" w:initials="">
    <w:p w14:paraId="254A4953">
      <w:pPr>
        <w:shd w:val="clear" w:color="auto" w:fill="FFF0F0"/>
        <w:spacing w:before="80" w:after="80" w:line="312" w:lineRule="auto"/>
        <w:rPr>
          <w:rFonts w:ascii="Arial" w:hAnsi="Arial" w:eastAsia="黑体"/>
          <w:b/>
          <w:color w:val="C81E1E"/>
          <w:sz w:val="22"/>
        </w:rPr>
      </w:pPr>
      <w:r>
        <w:rPr>
          <w:rFonts w:ascii="Arial" w:hAnsi="Arial" w:eastAsia="黑体"/>
          <w:b/>
          <w:color w:val="C81E1E"/>
          <w:sz w:val="22"/>
        </w:rPr>
        <w:t>【销售部批注】档案权限对销售太窄。销售是"第一对外责任人"，却看不到自己正在处理的客诉的完整档案（含实验报告、CAPA记录等），跟客户沟通时只能靠群里碎片信息拼凑。建议：销售</w:t>
      </w:r>
      <w:r>
        <w:rPr>
          <w:rFonts w:hint="eastAsia" w:ascii="Arial" w:hAnsi="Arial" w:eastAsia="黑体"/>
          <w:b/>
          <w:color w:val="C81E1E"/>
          <w:sz w:val="22"/>
          <w:lang w:val="en-US" w:eastAsia="zh-CN"/>
        </w:rPr>
        <w:t>总监、大区经理</w:t>
      </w:r>
      <w:r>
        <w:rPr>
          <w:rFonts w:ascii="Arial" w:hAnsi="Arial" w:eastAsia="黑体"/>
          <w:b/>
          <w:color w:val="C81E1E"/>
          <w:sz w:val="22"/>
        </w:rPr>
        <w:t>对</w:t>
      </w:r>
      <w:r>
        <w:rPr>
          <w:rFonts w:hint="eastAsia" w:ascii="Arial" w:hAnsi="Arial" w:eastAsia="黑体"/>
          <w:b/>
          <w:color w:val="C81E1E"/>
          <w:sz w:val="22"/>
          <w:lang w:val="en-US" w:eastAsia="zh-CN"/>
        </w:rPr>
        <w:t>所辖客户</w:t>
      </w:r>
      <w:r>
        <w:rPr>
          <w:rFonts w:ascii="Arial" w:hAnsi="Arial" w:eastAsia="黑体"/>
          <w:b/>
          <w:color w:val="C81E1E"/>
          <w:sz w:val="22"/>
        </w:rPr>
        <w:t>的客诉</w:t>
      </w:r>
      <w:r>
        <w:rPr>
          <w:rFonts w:hint="eastAsia" w:ascii="Arial" w:hAnsi="Arial" w:eastAsia="黑体"/>
          <w:b/>
          <w:color w:val="C81E1E"/>
          <w:sz w:val="22"/>
          <w:lang w:val="en-US" w:eastAsia="zh-CN"/>
        </w:rPr>
        <w:t>实验报告、</w:t>
      </w:r>
      <w:r>
        <w:rPr>
          <w:rFonts w:hint="default" w:ascii="Arial" w:hAnsi="Arial" w:eastAsia="黑体"/>
          <w:b/>
          <w:color w:val="C81E1E"/>
          <w:sz w:val="22"/>
          <w:lang w:val="en-US" w:eastAsia="zh-CN"/>
        </w:rPr>
        <w:t>capa</w:t>
      </w:r>
      <w:r>
        <w:rPr>
          <w:rFonts w:hint="eastAsia" w:ascii="Arial" w:hAnsi="Arial" w:eastAsia="黑体"/>
          <w:b/>
          <w:color w:val="C81E1E"/>
          <w:sz w:val="22"/>
          <w:lang w:val="en-US" w:eastAsia="zh-CN"/>
        </w:rPr>
        <w:t>记录（特别是改善溯源及改善达成跟踪方面的信息，</w:t>
      </w:r>
      <w:r>
        <w:rPr>
          <w:rFonts w:ascii="Arial" w:hAnsi="Arial" w:eastAsia="黑体"/>
          <w:b/>
          <w:color w:val="C81E1E"/>
          <w:sz w:val="22"/>
        </w:rPr>
        <w:t>有全程查阅权限（只读）。</w:t>
      </w:r>
    </w:p>
    <w:p w14:paraId="6B3D8A41">
      <w:pPr>
        <w:pStyle w:val="11"/>
        <w:numPr>
          <w:numId w:val="0"/>
        </w:numPr>
        <w:ind w:leftChars="200"/>
      </w:pPr>
    </w:p>
  </w:comment>
  <w:comment w:id="15" w:author="刘新元" w:date="2026-07-16T22:55:35Z" w:initials="">
    <w:p w14:paraId="264B2324">
      <w:pPr>
        <w:pStyle w:val="11"/>
      </w:pPr>
      <w:r>
        <w:rPr>
          <w:rFonts w:hint="eastAsia"/>
          <w:lang w:eastAsia="zh-CN"/>
        </w:rPr>
        <w: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040385" w15:done="0"/>
  <w15:commentEx w15:paraId="63D20A24" w15:done="0"/>
  <w15:commentEx w15:paraId="04E7E8E5" w15:done="0"/>
  <w15:commentEx w15:paraId="5608343F" w15:done="0"/>
  <w15:commentEx w15:paraId="2600E44F" w15:done="0"/>
  <w15:commentEx w15:paraId="4022B7A6" w15:done="0"/>
  <w15:commentEx w15:paraId="39426328" w15:done="0"/>
  <w15:commentEx w15:paraId="44414901" w15:done="0"/>
  <w15:commentEx w15:paraId="33145BCF" w15:done="0"/>
  <w15:commentEx w15:paraId="5D6E88C6" w15:done="0"/>
  <w15:commentEx w15:paraId="59780E4E" w15:done="0"/>
  <w15:commentEx w15:paraId="3B1D2E6B" w15:done="0"/>
  <w15:commentEx w15:paraId="4270E7F8" w15:done="0"/>
  <w15:commentEx w15:paraId="65566151" w15:done="0"/>
  <w15:commentEx w15:paraId="6B3D8A41" w15:done="0"/>
  <w15:commentEx w15:paraId="264B232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440"/>
      </w:pPr>
      <w:r>
        <w:separator/>
      </w:r>
    </w:p>
  </w:endnote>
  <w:endnote w:type="continuationSeparator" w:id="1">
    <w:p>
      <w:pPr>
        <w:spacing w:line="240" w:lineRule="auto"/>
        <w:ind w:left="4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DFKai-SB">
    <w:altName w:val="苹方-简"/>
    <w:panose1 w:val="03000509000000000000"/>
    <w:charset w:val="88"/>
    <w:family w:val="script"/>
    <w:pitch w:val="default"/>
    <w:sig w:usb0="00000000" w:usb1="00000000" w:usb2="00000016" w:usb3="00000000" w:csb0="00100001" w:csb1="00000000"/>
  </w:font>
  <w:font w:name="Microsoft JhengHei Light">
    <w:altName w:val="苹方-简"/>
    <w:panose1 w:val="020B0304030504040204"/>
    <w:charset w:val="88"/>
    <w:family w:val="auto"/>
    <w:pitch w:val="default"/>
    <w:sig w:usb0="00000000" w:usb1="00000000" w:usb2="00000016" w:usb3="00000000" w:csb0="00100009" w:csb1="00000000"/>
  </w:font>
  <w:font w:name="华文细黑">
    <w:altName w:val="黑体-简"/>
    <w:panose1 w:val="02010600040101010101"/>
    <w:charset w:val="86"/>
    <w:family w:val="auto"/>
    <w:pitch w:val="default"/>
    <w:sig w:usb0="00000000" w:usb1="00000000" w:usb2="00000000" w:usb3="00000000" w:csb0="0004009F" w:csb1="DFD70000"/>
  </w:font>
  <w:font w:name="汉仪书宋二KW">
    <w:panose1 w:val="00020600040101010101"/>
    <w:charset w:val="86"/>
    <w:family w:val="auto"/>
    <w:pitch w:val="default"/>
    <w:sig w:usb0="A00002BF" w:usb1="18EF7CFA" w:usb2="00000016" w:usb3="00000000" w:csb0="00040000" w:csb1="00000000"/>
  </w:font>
  <w:font w:name="Apple Color Emoji">
    <w:panose1 w:val="00000000000000000000"/>
    <w:charset w:val="00"/>
    <w:family w:val="auto"/>
    <w:pitch w:val="default"/>
    <w:sig w:usb0="00000003" w:usb1="18000000" w:usb2="14000000" w:usb3="00000000" w:csb0="00000001"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苹方-简">
    <w:panose1 w:val="020B0400000000000000"/>
    <w:charset w:val="86"/>
    <w:family w:val="auto"/>
    <w:pitch w:val="default"/>
    <w:sig w:usb0="A00002FF" w:usb1="7ACFFDFB" w:usb2="00000017" w:usb3="00000000" w:csb0="00040001" w:csb1="00000000"/>
  </w:font>
  <w:font w:name="黑体-简">
    <w:panose1 w:val="02000000000000000000"/>
    <w:charset w:val="86"/>
    <w:family w:val="auto"/>
    <w:pitch w:val="default"/>
    <w:sig w:usb0="8000002F" w:usb1="0800004A" w:usb2="00000000" w:usb3="00000000" w:csb0="203E0000" w:csb1="00000000"/>
  </w:font>
  <w:font w:name="宋体-简">
    <w:panose1 w:val="02010800040101010101"/>
    <w:charset w:val="86"/>
    <w:family w:val="auto"/>
    <w:pitch w:val="default"/>
    <w:sig w:usb0="00000001" w:usb1="080F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F8481">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53C4A">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left="440"/>
      </w:pPr>
      <w:r>
        <w:separator/>
      </w:r>
    </w:p>
  </w:footnote>
  <w:footnote w:type="continuationSeparator" w:id="1">
    <w:p>
      <w:pPr>
        <w:spacing w:line="360" w:lineRule="auto"/>
        <w:ind w:left="4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1869E">
    <w:pPr>
      <w:pStyle w:val="17"/>
      <w:pBdr>
        <w:bottom w:val="none" w:color="auto" w:sz="0" w:space="0"/>
      </w:pBdr>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5754E">
    <w:pPr>
      <w:pStyle w:val="1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454E8">
    <w:pPr>
      <w:pStyle w:val="17"/>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2"/>
      <w:tblW w:w="1044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3586"/>
      <w:gridCol w:w="1980"/>
      <w:gridCol w:w="3060"/>
    </w:tblGrid>
    <w:tr w14:paraId="5EF7B2C5">
      <w:trPr>
        <w:trHeight w:val="454" w:hRule="atLeast"/>
      </w:trPr>
      <w:tc>
        <w:tcPr>
          <w:tcW w:w="5400" w:type="dxa"/>
          <w:gridSpan w:val="2"/>
          <w:vMerge w:val="restart"/>
          <w:tcBorders>
            <w:top w:val="double" w:color="auto" w:sz="4" w:space="0"/>
            <w:left w:val="double" w:color="auto" w:sz="4" w:space="0"/>
          </w:tcBorders>
          <w:noWrap w:val="0"/>
          <w:vAlign w:val="center"/>
        </w:tcPr>
        <w:p w14:paraId="2C47A0D8">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auto"/>
            <w:ind w:left="0" w:leftChars="0"/>
            <w:jc w:val="center"/>
            <w:textAlignment w:val="auto"/>
            <w:rPr>
              <w:rFonts w:hint="eastAsia" w:eastAsia="宋体"/>
              <w:b/>
              <w:szCs w:val="21"/>
              <w:lang w:eastAsia="zh-CN"/>
            </w:rPr>
          </w:pPr>
          <w:r>
            <w:rPr>
              <w:rFonts w:hint="eastAsia" w:ascii="宋体" w:hAnsi="宋体"/>
              <w:b/>
              <w:bCs/>
              <w:sz w:val="32"/>
              <w:szCs w:val="32"/>
              <w:lang w:val="en-US" w:eastAsia="zh-CN"/>
            </w:rPr>
            <w:t>珠海宝锐生物科技有限公司</w:t>
          </w:r>
        </w:p>
      </w:tc>
      <w:tc>
        <w:tcPr>
          <w:tcW w:w="1980" w:type="dxa"/>
          <w:tcBorders>
            <w:top w:val="double" w:color="auto" w:sz="4" w:space="0"/>
          </w:tcBorders>
          <w:noWrap w:val="0"/>
          <w:vAlign w:val="center"/>
        </w:tcPr>
        <w:p w14:paraId="48B30A12">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auto"/>
            <w:ind w:left="0" w:leftChars="0"/>
            <w:jc w:val="center"/>
            <w:textAlignment w:val="auto"/>
            <w:rPr>
              <w:rFonts w:ascii="宋体" w:hAnsi="宋体"/>
              <w:b/>
              <w:sz w:val="24"/>
            </w:rPr>
          </w:pPr>
          <w:r>
            <w:rPr>
              <w:rFonts w:ascii="宋体" w:hAnsi="宋体"/>
              <w:b/>
              <w:sz w:val="24"/>
            </w:rPr>
            <w:t>文</w:t>
          </w:r>
          <w:r>
            <w:rPr>
              <w:rFonts w:hint="eastAsia" w:ascii="宋体" w:hAnsi="宋体"/>
              <w:b/>
              <w:sz w:val="24"/>
            </w:rPr>
            <w:t xml:space="preserve"> </w:t>
          </w:r>
          <w:r>
            <w:rPr>
              <w:rFonts w:ascii="宋体" w:hAnsi="宋体"/>
              <w:b/>
              <w:sz w:val="24"/>
            </w:rPr>
            <w:t>件</w:t>
          </w:r>
          <w:r>
            <w:rPr>
              <w:rFonts w:hint="eastAsia" w:ascii="宋体" w:hAnsi="宋体"/>
              <w:b/>
              <w:sz w:val="24"/>
            </w:rPr>
            <w:t xml:space="preserve"> </w:t>
          </w:r>
          <w:r>
            <w:rPr>
              <w:rFonts w:ascii="宋体" w:hAnsi="宋体"/>
              <w:b/>
              <w:sz w:val="24"/>
            </w:rPr>
            <w:t>编</w:t>
          </w:r>
          <w:r>
            <w:rPr>
              <w:rFonts w:hint="eastAsia" w:ascii="宋体" w:hAnsi="宋体"/>
              <w:b/>
              <w:sz w:val="24"/>
            </w:rPr>
            <w:t xml:space="preserve"> </w:t>
          </w:r>
          <w:r>
            <w:rPr>
              <w:rFonts w:ascii="宋体" w:hAnsi="宋体"/>
              <w:b/>
              <w:sz w:val="24"/>
            </w:rPr>
            <w:t>号</w:t>
          </w:r>
        </w:p>
      </w:tc>
      <w:tc>
        <w:tcPr>
          <w:tcW w:w="3060" w:type="dxa"/>
          <w:tcBorders>
            <w:top w:val="double" w:color="auto" w:sz="4" w:space="0"/>
            <w:right w:val="double" w:color="auto" w:sz="4" w:space="0"/>
          </w:tcBorders>
          <w:noWrap w:val="0"/>
          <w:vAlign w:val="center"/>
        </w:tcPr>
        <w:p w14:paraId="67B664C9">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auto"/>
            <w:ind w:left="0" w:leftChars="0"/>
            <w:jc w:val="center"/>
            <w:textAlignment w:val="auto"/>
            <w:rPr>
              <w:rFonts w:hint="default" w:ascii="宋体" w:hAnsi="宋体"/>
              <w:sz w:val="24"/>
              <w:lang w:val="en-US"/>
            </w:rPr>
          </w:pPr>
          <w:r>
            <w:rPr>
              <w:rFonts w:hint="default" w:ascii="Times New Roman" w:hAnsi="Times New Roman" w:eastAsia="宋体" w:cs="Times New Roman"/>
              <w:color w:val="auto"/>
              <w:sz w:val="24"/>
              <w:szCs w:val="24"/>
            </w:rPr>
            <w:t>CA-11-</w:t>
          </w:r>
          <w:r>
            <w:rPr>
              <w:rFonts w:hint="eastAsia" w:cs="Times New Roman"/>
              <w:color w:val="auto"/>
              <w:sz w:val="24"/>
              <w:szCs w:val="24"/>
              <w:lang w:val="en-US" w:eastAsia="zh-CN"/>
            </w:rPr>
            <w:t>21</w:t>
          </w:r>
        </w:p>
      </w:tc>
    </w:tr>
    <w:tr w14:paraId="5F55987A">
      <w:trPr>
        <w:trHeight w:val="454" w:hRule="exact"/>
      </w:trPr>
      <w:tc>
        <w:tcPr>
          <w:tcW w:w="5400" w:type="dxa"/>
          <w:gridSpan w:val="2"/>
          <w:vMerge w:val="continue"/>
          <w:tcBorders>
            <w:left w:val="double" w:color="auto" w:sz="4" w:space="0"/>
          </w:tcBorders>
          <w:noWrap w:val="0"/>
          <w:vAlign w:val="top"/>
        </w:tcPr>
        <w:p w14:paraId="3A9EBA8F">
          <w:pPr>
            <w:pStyle w:val="17"/>
            <w:keepNext w:val="0"/>
            <w:keepLines w:val="0"/>
            <w:pageBreakBefore w:val="0"/>
            <w:widowControl w:val="0"/>
            <w:pBdr>
              <w:bottom w:val="none" w:color="auto" w:sz="0" w:space="0"/>
            </w:pBdr>
            <w:kinsoku/>
            <w:wordWrap/>
            <w:overflowPunct/>
            <w:topLinePunct w:val="0"/>
            <w:autoSpaceDE/>
            <w:autoSpaceDN/>
            <w:bidi w:val="0"/>
            <w:adjustRightInd/>
            <w:snapToGrid/>
            <w:spacing w:line="240" w:lineRule="auto"/>
            <w:ind w:left="0" w:leftChars="0"/>
            <w:textAlignment w:val="auto"/>
            <w:rPr>
              <w:rFonts w:hint="eastAsia" w:ascii="宋体" w:hAnsi="宋体"/>
              <w:sz w:val="24"/>
              <w:szCs w:val="24"/>
            </w:rPr>
          </w:pPr>
        </w:p>
      </w:tc>
      <w:tc>
        <w:tcPr>
          <w:tcW w:w="1980" w:type="dxa"/>
          <w:noWrap w:val="0"/>
          <w:vAlign w:val="center"/>
        </w:tcPr>
        <w:p w14:paraId="016D0901">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auto"/>
            <w:ind w:left="0" w:leftChars="0"/>
            <w:jc w:val="center"/>
            <w:textAlignment w:val="auto"/>
            <w:rPr>
              <w:rFonts w:hint="eastAsia" w:ascii="宋体" w:hAnsi="宋体"/>
              <w:b/>
              <w:sz w:val="24"/>
            </w:rPr>
          </w:pPr>
          <w:r>
            <w:rPr>
              <w:rFonts w:hint="eastAsia" w:ascii="宋体" w:hAnsi="宋体"/>
              <w:b/>
              <w:sz w:val="24"/>
            </w:rPr>
            <w:t>版 本 版 次</w:t>
          </w:r>
        </w:p>
      </w:tc>
      <w:tc>
        <w:tcPr>
          <w:tcW w:w="3060" w:type="dxa"/>
          <w:tcBorders>
            <w:right w:val="double" w:color="auto" w:sz="4" w:space="0"/>
          </w:tcBorders>
          <w:noWrap w:val="0"/>
          <w:vAlign w:val="center"/>
        </w:tcPr>
        <w:p w14:paraId="23BDEB26">
          <w:pPr>
            <w:keepNext w:val="0"/>
            <w:keepLines w:val="0"/>
            <w:pageBreakBefore w:val="0"/>
            <w:widowControl w:val="0"/>
            <w:pBdr>
              <w:bottom w:val="none" w:color="auto" w:sz="0" w:space="0"/>
            </w:pBdr>
            <w:tabs>
              <w:tab w:val="center" w:pos="1482"/>
              <w:tab w:val="right" w:pos="2844"/>
            </w:tabs>
            <w:kinsoku/>
            <w:wordWrap/>
            <w:overflowPunct/>
            <w:topLinePunct w:val="0"/>
            <w:autoSpaceDE/>
            <w:autoSpaceDN/>
            <w:bidi w:val="0"/>
            <w:adjustRightInd/>
            <w:snapToGrid/>
            <w:spacing w:line="240" w:lineRule="auto"/>
            <w:ind w:left="0" w:leftChars="0"/>
            <w:jc w:val="center"/>
            <w:textAlignment w:val="auto"/>
            <w:rPr>
              <w:rFonts w:hint="eastAsia" w:ascii="宋体" w:hAnsi="宋体" w:eastAsia="宋体"/>
              <w:sz w:val="24"/>
              <w:lang w:val="en-US" w:eastAsia="zh-CN"/>
            </w:rPr>
          </w:pPr>
          <w:r>
            <w:rPr>
              <w:rFonts w:hint="eastAsia" w:ascii="宋体" w:hAnsi="宋体"/>
              <w:sz w:val="24"/>
            </w:rPr>
            <w:t>A/</w:t>
          </w:r>
          <w:r>
            <w:rPr>
              <w:rFonts w:hint="eastAsia" w:ascii="宋体" w:hAnsi="宋体"/>
              <w:sz w:val="24"/>
              <w:lang w:val="en-US" w:eastAsia="zh-CN"/>
            </w:rPr>
            <w:t>1</w:t>
          </w:r>
        </w:p>
      </w:tc>
    </w:tr>
    <w:tr w14:paraId="56877E37">
      <w:trPr>
        <w:trHeight w:val="454" w:hRule="atLeast"/>
      </w:trPr>
      <w:tc>
        <w:tcPr>
          <w:tcW w:w="1814" w:type="dxa"/>
          <w:tcBorders>
            <w:left w:val="double" w:color="auto" w:sz="4" w:space="0"/>
            <w:bottom w:val="double" w:color="auto" w:sz="4" w:space="0"/>
          </w:tcBorders>
          <w:noWrap w:val="0"/>
          <w:vAlign w:val="center"/>
        </w:tcPr>
        <w:p w14:paraId="106F7008">
          <w:pPr>
            <w:keepNext w:val="0"/>
            <w:keepLines w:val="0"/>
            <w:pageBreakBefore w:val="0"/>
            <w:widowControl w:val="0"/>
            <w:pBdr>
              <w:bottom w:val="none" w:color="auto" w:sz="0" w:space="0"/>
            </w:pBdr>
            <w:tabs>
              <w:tab w:val="left" w:pos="1335"/>
            </w:tabs>
            <w:kinsoku/>
            <w:wordWrap/>
            <w:overflowPunct/>
            <w:topLinePunct w:val="0"/>
            <w:autoSpaceDE/>
            <w:autoSpaceDN/>
            <w:bidi w:val="0"/>
            <w:adjustRightInd/>
            <w:snapToGrid/>
            <w:spacing w:line="240" w:lineRule="auto"/>
            <w:ind w:left="0" w:leftChars="0"/>
            <w:jc w:val="center"/>
            <w:textAlignment w:val="auto"/>
            <w:rPr>
              <w:rFonts w:hint="eastAsia" w:ascii="宋体" w:hAnsi="宋体"/>
              <w:sz w:val="24"/>
            </w:rPr>
          </w:pPr>
          <w:r>
            <w:rPr>
              <w:rFonts w:hint="eastAsia" w:ascii="宋体" w:hAnsi="宋体"/>
              <w:b/>
              <w:bCs/>
              <w:sz w:val="24"/>
            </w:rPr>
            <w:t>文 件 名 称</w:t>
          </w:r>
        </w:p>
      </w:tc>
      <w:tc>
        <w:tcPr>
          <w:tcW w:w="3586" w:type="dxa"/>
          <w:tcBorders>
            <w:bottom w:val="double" w:color="auto" w:sz="4" w:space="0"/>
          </w:tcBorders>
          <w:noWrap w:val="0"/>
          <w:vAlign w:val="center"/>
        </w:tcPr>
        <w:p w14:paraId="509ADB93">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auto"/>
            <w:ind w:left="0" w:leftChars="0"/>
            <w:jc w:val="center"/>
            <w:textAlignment w:val="auto"/>
            <w:rPr>
              <w:rFonts w:hint="default" w:ascii="宋体" w:hAnsi="宋体" w:eastAsia="宋体"/>
              <w:b/>
              <w:sz w:val="24"/>
              <w:szCs w:val="24"/>
              <w:lang w:val="en-US" w:eastAsia="zh-CN"/>
            </w:rPr>
          </w:pPr>
          <w:r>
            <w:rPr>
              <w:rFonts w:hint="eastAsia"/>
              <w:b/>
              <w:bCs/>
              <w:sz w:val="24"/>
              <w:szCs w:val="24"/>
              <w:lang w:val="en-US" w:eastAsia="zh-CN"/>
            </w:rPr>
            <w:t>客户投诉处理管理制度</w:t>
          </w:r>
        </w:p>
      </w:tc>
      <w:tc>
        <w:tcPr>
          <w:tcW w:w="1980" w:type="dxa"/>
          <w:tcBorders>
            <w:bottom w:val="double" w:color="auto" w:sz="4" w:space="0"/>
          </w:tcBorders>
          <w:noWrap w:val="0"/>
          <w:vAlign w:val="center"/>
        </w:tcPr>
        <w:p w14:paraId="44181908">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auto"/>
            <w:ind w:left="0" w:leftChars="0"/>
            <w:jc w:val="center"/>
            <w:textAlignment w:val="auto"/>
            <w:rPr>
              <w:rFonts w:hint="eastAsia" w:ascii="宋体" w:hAnsi="宋体"/>
              <w:b/>
              <w:sz w:val="24"/>
            </w:rPr>
          </w:pPr>
          <w:r>
            <w:rPr>
              <w:rFonts w:hint="eastAsia" w:ascii="宋体" w:hAnsi="宋体"/>
              <w:b/>
              <w:sz w:val="24"/>
            </w:rPr>
            <w:t>页 次 页 码</w:t>
          </w:r>
        </w:p>
      </w:tc>
      <w:tc>
        <w:tcPr>
          <w:tcW w:w="3060" w:type="dxa"/>
          <w:tcBorders>
            <w:bottom w:val="double" w:color="auto" w:sz="4" w:space="0"/>
            <w:right w:val="double" w:color="auto" w:sz="4" w:space="0"/>
          </w:tcBorders>
          <w:noWrap w:val="0"/>
          <w:vAlign w:val="center"/>
        </w:tcPr>
        <w:p w14:paraId="463D2EF4">
          <w:pPr>
            <w:keepNext w:val="0"/>
            <w:keepLines w:val="0"/>
            <w:pageBreakBefore w:val="0"/>
            <w:widowControl w:val="0"/>
            <w:pBdr>
              <w:bottom w:val="none" w:color="auto" w:sz="0" w:space="0"/>
            </w:pBdr>
            <w:kinsoku/>
            <w:wordWrap/>
            <w:overflowPunct/>
            <w:topLinePunct w:val="0"/>
            <w:autoSpaceDE/>
            <w:autoSpaceDN/>
            <w:bidi w:val="0"/>
            <w:adjustRightInd/>
            <w:snapToGrid/>
            <w:spacing w:line="240" w:lineRule="auto"/>
            <w:ind w:left="0" w:leftChars="0"/>
            <w:jc w:val="center"/>
            <w:textAlignment w:val="auto"/>
            <w:rPr>
              <w:rFonts w:hint="eastAsia" w:ascii="宋体" w:hAnsi="宋体"/>
              <w:sz w:val="24"/>
            </w:rPr>
          </w:pPr>
          <w:r>
            <w:rPr>
              <w:rFonts w:hint="eastAsia" w:ascii="宋体" w:hAnsi="宋体"/>
              <w:sz w:val="24"/>
            </w:rPr>
            <w:t>第</w:t>
          </w:r>
          <w:r>
            <w:rPr>
              <w:rFonts w:ascii="宋体" w:hAnsi="宋体"/>
              <w:sz w:val="24"/>
            </w:rPr>
            <w:fldChar w:fldCharType="begin"/>
          </w:r>
          <w:r>
            <w:rPr>
              <w:rStyle w:val="26"/>
              <w:rFonts w:ascii="宋体" w:hAnsi="宋体"/>
              <w:sz w:val="24"/>
            </w:rPr>
            <w:instrText xml:space="preserve"> PAGE </w:instrText>
          </w:r>
          <w:r>
            <w:rPr>
              <w:rFonts w:ascii="宋体" w:hAnsi="宋体"/>
              <w:sz w:val="24"/>
            </w:rPr>
            <w:fldChar w:fldCharType="separate"/>
          </w:r>
          <w:r>
            <w:rPr>
              <w:rStyle w:val="26"/>
              <w:rFonts w:ascii="宋体" w:hAnsi="宋体"/>
              <w:sz w:val="24"/>
            </w:rPr>
            <w:t>2</w:t>
          </w:r>
          <w:r>
            <w:rPr>
              <w:rFonts w:ascii="宋体" w:hAnsi="宋体"/>
              <w:sz w:val="24"/>
            </w:rPr>
            <w:fldChar w:fldCharType="end"/>
          </w:r>
          <w:r>
            <w:rPr>
              <w:rFonts w:hint="eastAsia" w:ascii="宋体" w:hAnsi="宋体"/>
              <w:sz w:val="24"/>
            </w:rPr>
            <w:t>/</w:t>
          </w:r>
          <w:r>
            <w:rPr>
              <w:rFonts w:hint="default" w:ascii="宋体" w:hAnsi="宋体"/>
              <w:sz w:val="24"/>
            </w:rPr>
            <w:fldChar w:fldCharType="begin"/>
          </w:r>
          <w:r>
            <w:rPr>
              <w:rFonts w:hint="default" w:ascii="宋体" w:hAnsi="宋体"/>
              <w:sz w:val="24"/>
            </w:rPr>
            <w:instrText xml:space="preserve"> NUMPAGES \* MERGEFORMAT </w:instrText>
          </w:r>
          <w:r>
            <w:rPr>
              <w:rFonts w:hint="default" w:ascii="宋体" w:hAnsi="宋体"/>
              <w:sz w:val="24"/>
            </w:rPr>
            <w:fldChar w:fldCharType="separate"/>
          </w:r>
          <w:r>
            <w:rPr>
              <w:rFonts w:hint="default" w:ascii="宋体" w:hAnsi="宋体"/>
              <w:sz w:val="24"/>
            </w:rPr>
            <w:t>8</w:t>
          </w:r>
          <w:r>
            <w:rPr>
              <w:rFonts w:hint="default" w:ascii="宋体" w:hAnsi="宋体"/>
              <w:sz w:val="24"/>
            </w:rPr>
            <w:fldChar w:fldCharType="end"/>
          </w:r>
          <w:r>
            <w:rPr>
              <w:rFonts w:hint="eastAsia" w:ascii="宋体" w:hAnsi="宋体"/>
              <w:sz w:val="24"/>
            </w:rPr>
            <w:t>页</w:t>
          </w:r>
        </w:p>
      </w:tc>
    </w:tr>
  </w:tbl>
  <w:p w14:paraId="04FE4F87">
    <w:pPr>
      <w:pStyle w:val="17"/>
      <w:pBdr>
        <w:bottom w:val="none" w:color="auto" w:sz="0" w:space="0"/>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358952"/>
    <w:multiLevelType w:val="singleLevel"/>
    <w:tmpl w:val="80358952"/>
    <w:lvl w:ilvl="0" w:tentative="0">
      <w:start w:val="1"/>
      <w:numFmt w:val="decimal"/>
      <w:pStyle w:val="31"/>
      <w:lvlText w:val="%1)"/>
      <w:lvlJc w:val="left"/>
      <w:pPr>
        <w:ind w:left="425" w:hanging="425"/>
      </w:pPr>
      <w:rPr>
        <w:rFonts w:hint="default"/>
      </w:rPr>
    </w:lvl>
  </w:abstractNum>
  <w:abstractNum w:abstractNumId="1">
    <w:nsid w:val="829E54F9"/>
    <w:multiLevelType w:val="singleLevel"/>
    <w:tmpl w:val="829E54F9"/>
    <w:lvl w:ilvl="0" w:tentative="0">
      <w:start w:val="1"/>
      <w:numFmt w:val="decimal"/>
      <w:lvlText w:val="(%1)"/>
      <w:lvlJc w:val="left"/>
      <w:pPr>
        <w:ind w:left="425" w:hanging="425"/>
      </w:pPr>
      <w:rPr>
        <w:rFonts w:hint="default"/>
      </w:rPr>
    </w:lvl>
  </w:abstractNum>
  <w:abstractNum w:abstractNumId="2">
    <w:nsid w:val="83CD7971"/>
    <w:multiLevelType w:val="singleLevel"/>
    <w:tmpl w:val="83CD7971"/>
    <w:lvl w:ilvl="0" w:tentative="0">
      <w:start w:val="1"/>
      <w:numFmt w:val="decimal"/>
      <w:lvlText w:val="(%1)"/>
      <w:lvlJc w:val="left"/>
      <w:pPr>
        <w:ind w:left="425" w:hanging="425"/>
      </w:pPr>
      <w:rPr>
        <w:rFonts w:hint="default"/>
      </w:rPr>
    </w:lvl>
  </w:abstractNum>
  <w:abstractNum w:abstractNumId="3">
    <w:nsid w:val="8C878C35"/>
    <w:multiLevelType w:val="multilevel"/>
    <w:tmpl w:val="8C878C35"/>
    <w:lvl w:ilvl="0" w:tentative="0">
      <w:start w:val="0"/>
      <w:numFmt w:val="decimal"/>
      <w:pStyle w:val="2"/>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pStyle w:val="4"/>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4">
    <w:nsid w:val="9444F4DF"/>
    <w:multiLevelType w:val="multilevel"/>
    <w:tmpl w:val="9444F4DF"/>
    <w:lvl w:ilvl="0" w:tentative="0">
      <w:start w:val="1"/>
      <w:numFmt w:val="decimal"/>
      <w:pStyle w:val="11"/>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none"/>
      <w:lvlText w:val="%1.%2.%3.%4.%5."/>
      <w:lvlJc w:val="left"/>
      <w:pPr>
        <w:ind w:left="1008" w:hanging="1008"/>
      </w:pPr>
      <w:rPr>
        <w:rFonts w:hint="default" w:ascii="宋体" w:hAnsi="宋体" w:eastAsia="宋体" w:cs="宋体"/>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5">
    <w:nsid w:val="9764CE60"/>
    <w:multiLevelType w:val="singleLevel"/>
    <w:tmpl w:val="9764CE60"/>
    <w:lvl w:ilvl="0" w:tentative="0">
      <w:start w:val="1"/>
      <w:numFmt w:val="decimal"/>
      <w:lvlText w:val="(%1)"/>
      <w:lvlJc w:val="left"/>
      <w:pPr>
        <w:ind w:left="425" w:hanging="425"/>
      </w:pPr>
      <w:rPr>
        <w:rFonts w:hint="default"/>
      </w:rPr>
    </w:lvl>
  </w:abstractNum>
  <w:abstractNum w:abstractNumId="6">
    <w:nsid w:val="AFB340B9"/>
    <w:multiLevelType w:val="singleLevel"/>
    <w:tmpl w:val="AFB340B9"/>
    <w:lvl w:ilvl="0" w:tentative="0">
      <w:start w:val="1"/>
      <w:numFmt w:val="decimal"/>
      <w:lvlText w:val="(%1)"/>
      <w:lvlJc w:val="left"/>
      <w:pPr>
        <w:ind w:left="425" w:hanging="425"/>
      </w:pPr>
      <w:rPr>
        <w:rFonts w:hint="default"/>
      </w:rPr>
    </w:lvl>
  </w:abstractNum>
  <w:abstractNum w:abstractNumId="7">
    <w:nsid w:val="C8B289B4"/>
    <w:multiLevelType w:val="singleLevel"/>
    <w:tmpl w:val="C8B289B4"/>
    <w:lvl w:ilvl="0" w:tentative="0">
      <w:start w:val="1"/>
      <w:numFmt w:val="decimalEnclosedCircleChinese"/>
      <w:suff w:val="nothing"/>
      <w:lvlText w:val="%1　"/>
      <w:lvlJc w:val="left"/>
      <w:pPr>
        <w:ind w:left="0" w:firstLine="400"/>
      </w:pPr>
      <w:rPr>
        <w:rFonts w:hint="eastAsia"/>
      </w:rPr>
    </w:lvl>
  </w:abstractNum>
  <w:abstractNum w:abstractNumId="8">
    <w:nsid w:val="CA8857DA"/>
    <w:multiLevelType w:val="singleLevel"/>
    <w:tmpl w:val="CA8857DA"/>
    <w:lvl w:ilvl="0" w:tentative="0">
      <w:start w:val="1"/>
      <w:numFmt w:val="decimal"/>
      <w:lvlText w:val="(%1)"/>
      <w:lvlJc w:val="left"/>
      <w:pPr>
        <w:ind w:left="425" w:hanging="425"/>
      </w:pPr>
      <w:rPr>
        <w:rFonts w:hint="default"/>
      </w:rPr>
    </w:lvl>
  </w:abstractNum>
  <w:abstractNum w:abstractNumId="9">
    <w:nsid w:val="D143B74B"/>
    <w:multiLevelType w:val="singleLevel"/>
    <w:tmpl w:val="D143B74B"/>
    <w:lvl w:ilvl="0" w:tentative="0">
      <w:start w:val="1"/>
      <w:numFmt w:val="decimal"/>
      <w:lvlText w:val="(%1)"/>
      <w:lvlJc w:val="left"/>
      <w:pPr>
        <w:ind w:left="425" w:hanging="425"/>
      </w:pPr>
      <w:rPr>
        <w:rFonts w:hint="default"/>
      </w:rPr>
    </w:lvl>
  </w:abstractNum>
  <w:abstractNum w:abstractNumId="10">
    <w:nsid w:val="D88868A7"/>
    <w:multiLevelType w:val="singleLevel"/>
    <w:tmpl w:val="D88868A7"/>
    <w:lvl w:ilvl="0" w:tentative="0">
      <w:start w:val="1"/>
      <w:numFmt w:val="decimalEnclosedCircleChinese"/>
      <w:suff w:val="nothing"/>
      <w:lvlText w:val="%1　"/>
      <w:lvlJc w:val="left"/>
      <w:pPr>
        <w:ind w:left="0" w:firstLine="400"/>
      </w:pPr>
      <w:rPr>
        <w:rFonts w:hint="eastAsia"/>
      </w:rPr>
    </w:lvl>
  </w:abstractNum>
  <w:abstractNum w:abstractNumId="11">
    <w:nsid w:val="D9E9D050"/>
    <w:multiLevelType w:val="singleLevel"/>
    <w:tmpl w:val="D9E9D050"/>
    <w:lvl w:ilvl="0" w:tentative="0">
      <w:start w:val="1"/>
      <w:numFmt w:val="decimal"/>
      <w:lvlText w:val="(%1)"/>
      <w:lvlJc w:val="left"/>
      <w:pPr>
        <w:ind w:left="425" w:hanging="425"/>
      </w:pPr>
      <w:rPr>
        <w:rFonts w:hint="default"/>
      </w:rPr>
    </w:lvl>
  </w:abstractNum>
  <w:abstractNum w:abstractNumId="12">
    <w:nsid w:val="E07AFB52"/>
    <w:multiLevelType w:val="singleLevel"/>
    <w:tmpl w:val="E07AFB52"/>
    <w:lvl w:ilvl="0" w:tentative="0">
      <w:start w:val="1"/>
      <w:numFmt w:val="decimalEnclosedCircleChinese"/>
      <w:suff w:val="nothing"/>
      <w:lvlText w:val="%1　"/>
      <w:lvlJc w:val="left"/>
      <w:pPr>
        <w:ind w:left="0" w:firstLine="400"/>
      </w:pPr>
      <w:rPr>
        <w:rFonts w:hint="eastAsia"/>
      </w:rPr>
    </w:lvl>
  </w:abstractNum>
  <w:abstractNum w:abstractNumId="13">
    <w:nsid w:val="E713C566"/>
    <w:multiLevelType w:val="singleLevel"/>
    <w:tmpl w:val="E713C566"/>
    <w:lvl w:ilvl="0" w:tentative="0">
      <w:start w:val="1"/>
      <w:numFmt w:val="bullet"/>
      <w:pStyle w:val="32"/>
      <w:lvlText w:val=""/>
      <w:lvlJc w:val="left"/>
      <w:pPr>
        <w:ind w:left="420" w:hanging="420"/>
      </w:pPr>
      <w:rPr>
        <w:rFonts w:hint="default" w:ascii="Wingdings" w:hAnsi="Wingdings"/>
      </w:rPr>
    </w:lvl>
  </w:abstractNum>
  <w:abstractNum w:abstractNumId="14">
    <w:nsid w:val="E900123B"/>
    <w:multiLevelType w:val="singleLevel"/>
    <w:tmpl w:val="E900123B"/>
    <w:lvl w:ilvl="0" w:tentative="0">
      <w:start w:val="1"/>
      <w:numFmt w:val="decimal"/>
      <w:lvlText w:val="(%1)"/>
      <w:lvlJc w:val="left"/>
      <w:pPr>
        <w:ind w:left="425" w:hanging="425"/>
      </w:pPr>
      <w:rPr>
        <w:rFonts w:hint="default"/>
      </w:rPr>
    </w:lvl>
  </w:abstractNum>
  <w:abstractNum w:abstractNumId="15">
    <w:nsid w:val="F4021370"/>
    <w:multiLevelType w:val="singleLevel"/>
    <w:tmpl w:val="F4021370"/>
    <w:lvl w:ilvl="0" w:tentative="0">
      <w:start w:val="1"/>
      <w:numFmt w:val="decimal"/>
      <w:lvlText w:val="(%1)"/>
      <w:lvlJc w:val="left"/>
      <w:pPr>
        <w:ind w:left="425" w:hanging="425"/>
      </w:pPr>
      <w:rPr>
        <w:rFonts w:hint="default"/>
      </w:rPr>
    </w:lvl>
  </w:abstractNum>
  <w:abstractNum w:abstractNumId="16">
    <w:nsid w:val="F74A58D8"/>
    <w:multiLevelType w:val="singleLevel"/>
    <w:tmpl w:val="F74A58D8"/>
    <w:lvl w:ilvl="0" w:tentative="0">
      <w:start w:val="1"/>
      <w:numFmt w:val="decimalEnclosedCircleChinese"/>
      <w:suff w:val="nothing"/>
      <w:lvlText w:val="%1　"/>
      <w:lvlJc w:val="left"/>
      <w:pPr>
        <w:ind w:left="0" w:firstLine="400"/>
      </w:pPr>
      <w:rPr>
        <w:rFonts w:hint="eastAsia"/>
      </w:rPr>
    </w:lvl>
  </w:abstractNum>
  <w:abstractNum w:abstractNumId="17">
    <w:nsid w:val="FA8CA923"/>
    <w:multiLevelType w:val="singleLevel"/>
    <w:tmpl w:val="FA8CA923"/>
    <w:lvl w:ilvl="0" w:tentative="0">
      <w:start w:val="1"/>
      <w:numFmt w:val="decimal"/>
      <w:lvlText w:val="(%1)"/>
      <w:lvlJc w:val="left"/>
      <w:pPr>
        <w:ind w:left="425" w:hanging="425"/>
      </w:pPr>
      <w:rPr>
        <w:rFonts w:hint="default"/>
      </w:rPr>
    </w:lvl>
  </w:abstractNum>
  <w:abstractNum w:abstractNumId="18">
    <w:nsid w:val="03BC7497"/>
    <w:multiLevelType w:val="singleLevel"/>
    <w:tmpl w:val="03BC7497"/>
    <w:lvl w:ilvl="0" w:tentative="0">
      <w:start w:val="1"/>
      <w:numFmt w:val="decimalEnclosedCircleChinese"/>
      <w:suff w:val="nothing"/>
      <w:lvlText w:val="%1　"/>
      <w:lvlJc w:val="left"/>
      <w:pPr>
        <w:ind w:left="0" w:firstLine="400"/>
      </w:pPr>
      <w:rPr>
        <w:rFonts w:hint="eastAsia"/>
      </w:rPr>
    </w:lvl>
  </w:abstractNum>
  <w:abstractNum w:abstractNumId="19">
    <w:nsid w:val="136EE691"/>
    <w:multiLevelType w:val="singleLevel"/>
    <w:tmpl w:val="136EE691"/>
    <w:lvl w:ilvl="0" w:tentative="0">
      <w:start w:val="9"/>
      <w:numFmt w:val="decimal"/>
      <w:lvlText w:val="%1."/>
      <w:lvlJc w:val="left"/>
      <w:pPr>
        <w:tabs>
          <w:tab w:val="left" w:pos="312"/>
        </w:tabs>
      </w:pPr>
    </w:lvl>
  </w:abstractNum>
  <w:abstractNum w:abstractNumId="20">
    <w:nsid w:val="1EC005EC"/>
    <w:multiLevelType w:val="singleLevel"/>
    <w:tmpl w:val="1EC005EC"/>
    <w:lvl w:ilvl="0" w:tentative="0">
      <w:start w:val="1"/>
      <w:numFmt w:val="decimal"/>
      <w:lvlText w:val="(%1)"/>
      <w:lvlJc w:val="left"/>
      <w:pPr>
        <w:ind w:left="425" w:hanging="425"/>
      </w:pPr>
      <w:rPr>
        <w:rFonts w:hint="default"/>
      </w:rPr>
    </w:lvl>
  </w:abstractNum>
  <w:abstractNum w:abstractNumId="21">
    <w:nsid w:val="211FA3B5"/>
    <w:multiLevelType w:val="singleLevel"/>
    <w:tmpl w:val="211FA3B5"/>
    <w:lvl w:ilvl="0" w:tentative="0">
      <w:start w:val="1"/>
      <w:numFmt w:val="decimal"/>
      <w:lvlText w:val="(%1)"/>
      <w:lvlJc w:val="left"/>
      <w:pPr>
        <w:ind w:left="425" w:hanging="425"/>
      </w:pPr>
      <w:rPr>
        <w:rFonts w:hint="default"/>
      </w:rPr>
    </w:lvl>
  </w:abstractNum>
  <w:abstractNum w:abstractNumId="22">
    <w:nsid w:val="39B60D40"/>
    <w:multiLevelType w:val="singleLevel"/>
    <w:tmpl w:val="39B60D40"/>
    <w:lvl w:ilvl="0" w:tentative="0">
      <w:start w:val="1"/>
      <w:numFmt w:val="decimal"/>
      <w:lvlText w:val="(%1)"/>
      <w:lvlJc w:val="left"/>
      <w:pPr>
        <w:ind w:left="425" w:hanging="425"/>
      </w:pPr>
      <w:rPr>
        <w:rFonts w:hint="default"/>
      </w:rPr>
    </w:lvl>
  </w:abstractNum>
  <w:abstractNum w:abstractNumId="23">
    <w:nsid w:val="39F75A42"/>
    <w:multiLevelType w:val="singleLevel"/>
    <w:tmpl w:val="39F75A42"/>
    <w:lvl w:ilvl="0" w:tentative="0">
      <w:start w:val="1"/>
      <w:numFmt w:val="decimal"/>
      <w:lvlText w:val="(%1)"/>
      <w:lvlJc w:val="left"/>
      <w:pPr>
        <w:ind w:left="425" w:hanging="425"/>
      </w:pPr>
      <w:rPr>
        <w:rFonts w:hint="default"/>
      </w:rPr>
    </w:lvl>
  </w:abstractNum>
  <w:abstractNum w:abstractNumId="24">
    <w:nsid w:val="3B027993"/>
    <w:multiLevelType w:val="singleLevel"/>
    <w:tmpl w:val="3B027993"/>
    <w:lvl w:ilvl="0" w:tentative="0">
      <w:start w:val="1"/>
      <w:numFmt w:val="decimalEnclosedCircleChinese"/>
      <w:suff w:val="nothing"/>
      <w:lvlText w:val="%1　"/>
      <w:lvlJc w:val="left"/>
      <w:pPr>
        <w:ind w:left="0" w:firstLine="400"/>
      </w:pPr>
      <w:rPr>
        <w:rFonts w:hint="eastAsia"/>
      </w:rPr>
    </w:lvl>
  </w:abstractNum>
  <w:abstractNum w:abstractNumId="25">
    <w:nsid w:val="4C89DF6A"/>
    <w:multiLevelType w:val="singleLevel"/>
    <w:tmpl w:val="4C89DF6A"/>
    <w:lvl w:ilvl="0" w:tentative="0">
      <w:start w:val="1"/>
      <w:numFmt w:val="decimalEnclosedCircleChinese"/>
      <w:suff w:val="nothing"/>
      <w:lvlText w:val="%1　"/>
      <w:lvlJc w:val="left"/>
      <w:pPr>
        <w:ind w:left="0" w:firstLine="400"/>
      </w:pPr>
      <w:rPr>
        <w:rFonts w:hint="eastAsia"/>
      </w:rPr>
    </w:lvl>
  </w:abstractNum>
  <w:abstractNum w:abstractNumId="26">
    <w:nsid w:val="5AD2B77A"/>
    <w:multiLevelType w:val="singleLevel"/>
    <w:tmpl w:val="5AD2B77A"/>
    <w:lvl w:ilvl="0" w:tentative="0">
      <w:start w:val="1"/>
      <w:numFmt w:val="decimalEnclosedCircleChinese"/>
      <w:suff w:val="nothing"/>
      <w:lvlText w:val="%1　"/>
      <w:lvlJc w:val="left"/>
      <w:pPr>
        <w:ind w:left="0" w:firstLine="400"/>
      </w:pPr>
      <w:rPr>
        <w:rFonts w:hint="eastAsia"/>
      </w:rPr>
    </w:lvl>
  </w:abstractNum>
  <w:abstractNum w:abstractNumId="27">
    <w:nsid w:val="63AAF13C"/>
    <w:multiLevelType w:val="singleLevel"/>
    <w:tmpl w:val="63AAF13C"/>
    <w:lvl w:ilvl="0" w:tentative="0">
      <w:start w:val="1"/>
      <w:numFmt w:val="decimal"/>
      <w:lvlText w:val="(%1)"/>
      <w:lvlJc w:val="left"/>
      <w:pPr>
        <w:ind w:left="425" w:hanging="425"/>
      </w:pPr>
      <w:rPr>
        <w:rFonts w:hint="default"/>
      </w:rPr>
    </w:lvl>
  </w:abstractNum>
  <w:abstractNum w:abstractNumId="28">
    <w:nsid w:val="6EF3412A"/>
    <w:multiLevelType w:val="singleLevel"/>
    <w:tmpl w:val="6EF3412A"/>
    <w:lvl w:ilvl="0" w:tentative="0">
      <w:start w:val="1"/>
      <w:numFmt w:val="decimalEnclosedCircleChinese"/>
      <w:suff w:val="nothing"/>
      <w:lvlText w:val="%1　"/>
      <w:lvlJc w:val="left"/>
      <w:pPr>
        <w:ind w:left="0" w:firstLine="400"/>
      </w:pPr>
      <w:rPr>
        <w:rFonts w:hint="eastAsia"/>
      </w:rPr>
    </w:lvl>
  </w:abstractNum>
  <w:abstractNum w:abstractNumId="29">
    <w:nsid w:val="6F6A7684"/>
    <w:multiLevelType w:val="singleLevel"/>
    <w:tmpl w:val="6F6A7684"/>
    <w:lvl w:ilvl="0" w:tentative="0">
      <w:start w:val="1"/>
      <w:numFmt w:val="decimal"/>
      <w:lvlText w:val="(%1)"/>
      <w:lvlJc w:val="left"/>
      <w:pPr>
        <w:ind w:left="425" w:hanging="425"/>
      </w:pPr>
      <w:rPr>
        <w:rFonts w:hint="default"/>
      </w:rPr>
    </w:lvl>
  </w:abstractNum>
  <w:abstractNum w:abstractNumId="30">
    <w:nsid w:val="700FD4A2"/>
    <w:multiLevelType w:val="singleLevel"/>
    <w:tmpl w:val="700FD4A2"/>
    <w:lvl w:ilvl="0" w:tentative="0">
      <w:start w:val="1"/>
      <w:numFmt w:val="decimal"/>
      <w:lvlText w:val="(%1)"/>
      <w:lvlJc w:val="left"/>
      <w:pPr>
        <w:ind w:left="425" w:hanging="425"/>
      </w:pPr>
      <w:rPr>
        <w:rFonts w:hint="default"/>
      </w:rPr>
    </w:lvl>
  </w:abstractNum>
  <w:abstractNum w:abstractNumId="31">
    <w:nsid w:val="789E1451"/>
    <w:multiLevelType w:val="singleLevel"/>
    <w:tmpl w:val="789E1451"/>
    <w:lvl w:ilvl="0" w:tentative="0">
      <w:start w:val="1"/>
      <w:numFmt w:val="decimalEnclosedCircleChinese"/>
      <w:suff w:val="nothing"/>
      <w:lvlText w:val="%1　"/>
      <w:lvlJc w:val="left"/>
      <w:pPr>
        <w:ind w:left="0" w:firstLine="400"/>
      </w:pPr>
      <w:rPr>
        <w:rFonts w:hint="eastAsia"/>
      </w:rPr>
    </w:lvl>
  </w:abstractNum>
  <w:abstractNum w:abstractNumId="32">
    <w:nsid w:val="7B1F9044"/>
    <w:multiLevelType w:val="singleLevel"/>
    <w:tmpl w:val="7B1F9044"/>
    <w:lvl w:ilvl="0" w:tentative="0">
      <w:start w:val="1"/>
      <w:numFmt w:val="decimal"/>
      <w:lvlText w:val="(%1)"/>
      <w:lvlJc w:val="left"/>
      <w:pPr>
        <w:ind w:left="425" w:hanging="425"/>
      </w:pPr>
      <w:rPr>
        <w:rFonts w:hint="default"/>
      </w:rPr>
    </w:lvl>
  </w:abstractNum>
  <w:abstractNum w:abstractNumId="33">
    <w:nsid w:val="7D07FADB"/>
    <w:multiLevelType w:val="singleLevel"/>
    <w:tmpl w:val="7D07FADB"/>
    <w:lvl w:ilvl="0" w:tentative="0">
      <w:start w:val="1"/>
      <w:numFmt w:val="decimal"/>
      <w:lvlText w:val="(%1)"/>
      <w:lvlJc w:val="left"/>
      <w:pPr>
        <w:ind w:left="425" w:hanging="425"/>
      </w:pPr>
      <w:rPr>
        <w:rFonts w:hint="default"/>
      </w:rPr>
    </w:lvl>
  </w:abstractNum>
  <w:abstractNum w:abstractNumId="34">
    <w:nsid w:val="7DDB58E6"/>
    <w:multiLevelType w:val="singleLevel"/>
    <w:tmpl w:val="7DDB58E6"/>
    <w:lvl w:ilvl="0" w:tentative="0">
      <w:start w:val="1"/>
      <w:numFmt w:val="decimal"/>
      <w:lvlText w:val="(%1)"/>
      <w:lvlJc w:val="left"/>
      <w:pPr>
        <w:ind w:left="425" w:hanging="425"/>
      </w:pPr>
      <w:rPr>
        <w:rFonts w:hint="default"/>
      </w:rPr>
    </w:lvl>
  </w:abstractNum>
  <w:num w:numId="1">
    <w:abstractNumId w:val="3"/>
  </w:num>
  <w:num w:numId="2">
    <w:abstractNumId w:val="4"/>
  </w:num>
  <w:num w:numId="3">
    <w:abstractNumId w:val="0"/>
  </w:num>
  <w:num w:numId="4">
    <w:abstractNumId w:val="13"/>
  </w:num>
  <w:num w:numId="5">
    <w:abstractNumId w:val="5"/>
  </w:num>
  <w:num w:numId="6">
    <w:abstractNumId w:val="29"/>
  </w:num>
  <w:num w:numId="7">
    <w:abstractNumId w:val="1"/>
  </w:num>
  <w:num w:numId="8">
    <w:abstractNumId w:val="20"/>
  </w:num>
  <w:num w:numId="9">
    <w:abstractNumId w:val="32"/>
  </w:num>
  <w:num w:numId="10">
    <w:abstractNumId w:val="15"/>
  </w:num>
  <w:num w:numId="11">
    <w:abstractNumId w:val="33"/>
  </w:num>
  <w:num w:numId="12">
    <w:abstractNumId w:val="34"/>
  </w:num>
  <w:num w:numId="13">
    <w:abstractNumId w:val="14"/>
  </w:num>
  <w:num w:numId="14">
    <w:abstractNumId w:val="2"/>
  </w:num>
  <w:num w:numId="15">
    <w:abstractNumId w:val="6"/>
  </w:num>
  <w:num w:numId="16">
    <w:abstractNumId w:val="8"/>
  </w:num>
  <w:num w:numId="17">
    <w:abstractNumId w:val="21"/>
  </w:num>
  <w:num w:numId="18">
    <w:abstractNumId w:val="16"/>
  </w:num>
  <w:num w:numId="19">
    <w:abstractNumId w:val="23"/>
  </w:num>
  <w:num w:numId="20">
    <w:abstractNumId w:val="30"/>
  </w:num>
  <w:num w:numId="21">
    <w:abstractNumId w:val="28"/>
  </w:num>
  <w:num w:numId="22">
    <w:abstractNumId w:val="31"/>
  </w:num>
  <w:num w:numId="23">
    <w:abstractNumId w:val="25"/>
  </w:num>
  <w:num w:numId="24">
    <w:abstractNumId w:val="27"/>
  </w:num>
  <w:num w:numId="25">
    <w:abstractNumId w:val="10"/>
  </w:num>
  <w:num w:numId="26">
    <w:abstractNumId w:val="24"/>
  </w:num>
  <w:num w:numId="27">
    <w:abstractNumId w:val="26"/>
  </w:num>
  <w:num w:numId="28">
    <w:abstractNumId w:val="7"/>
  </w:num>
  <w:num w:numId="29">
    <w:abstractNumId w:val="17"/>
  </w:num>
  <w:num w:numId="30">
    <w:abstractNumId w:val="18"/>
  </w:num>
  <w:num w:numId="31">
    <w:abstractNumId w:val="9"/>
  </w:num>
  <w:num w:numId="32">
    <w:abstractNumId w:val="11"/>
  </w:num>
  <w:num w:numId="33">
    <w:abstractNumId w:val="22"/>
  </w:num>
  <w:num w:numId="34">
    <w:abstractNumId w:val="12"/>
  </w:num>
  <w:num w:numId="35">
    <w:abstractNumId w:val="1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刘新元">
    <w15:presenceInfo w15:providerId="WPS Office" w15:userId="41718083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5"/>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wYThlZDhhZDFmZGU1NjJjOGRlZGM0ZjVmYzRiN2EifQ=="/>
  </w:docVars>
  <w:rsids>
    <w:rsidRoot w:val="00172A27"/>
    <w:rsid w:val="00BA3D4E"/>
    <w:rsid w:val="00D479FF"/>
    <w:rsid w:val="021B0F5E"/>
    <w:rsid w:val="03F83641"/>
    <w:rsid w:val="03FB1ADA"/>
    <w:rsid w:val="0685616B"/>
    <w:rsid w:val="08A74FB5"/>
    <w:rsid w:val="093348C6"/>
    <w:rsid w:val="094D4CA9"/>
    <w:rsid w:val="0A525825"/>
    <w:rsid w:val="0A711012"/>
    <w:rsid w:val="0D040E16"/>
    <w:rsid w:val="0DF11C32"/>
    <w:rsid w:val="0E0D3AD6"/>
    <w:rsid w:val="0F8A2E52"/>
    <w:rsid w:val="106F23A1"/>
    <w:rsid w:val="10B74832"/>
    <w:rsid w:val="116E4835"/>
    <w:rsid w:val="126472FA"/>
    <w:rsid w:val="128A6382"/>
    <w:rsid w:val="12CD1ABC"/>
    <w:rsid w:val="14A00A2B"/>
    <w:rsid w:val="14B53691"/>
    <w:rsid w:val="14D62CDC"/>
    <w:rsid w:val="157E77BC"/>
    <w:rsid w:val="16263F7A"/>
    <w:rsid w:val="164F240E"/>
    <w:rsid w:val="165D4F31"/>
    <w:rsid w:val="16B5191F"/>
    <w:rsid w:val="16B53AAA"/>
    <w:rsid w:val="16EB4BFD"/>
    <w:rsid w:val="176B5864"/>
    <w:rsid w:val="1785241C"/>
    <w:rsid w:val="18C43AE0"/>
    <w:rsid w:val="1B5650C9"/>
    <w:rsid w:val="1D632DBB"/>
    <w:rsid w:val="1DB47FE2"/>
    <w:rsid w:val="1DB7D30D"/>
    <w:rsid w:val="1E0B30BC"/>
    <w:rsid w:val="1FD7229C"/>
    <w:rsid w:val="2197401B"/>
    <w:rsid w:val="21E71C39"/>
    <w:rsid w:val="24540EE7"/>
    <w:rsid w:val="24823A4B"/>
    <w:rsid w:val="24B17E03"/>
    <w:rsid w:val="24C5144F"/>
    <w:rsid w:val="24EB5841"/>
    <w:rsid w:val="25A815AE"/>
    <w:rsid w:val="26A60007"/>
    <w:rsid w:val="26EB4EF8"/>
    <w:rsid w:val="275C1A06"/>
    <w:rsid w:val="27FD61F3"/>
    <w:rsid w:val="28232CBE"/>
    <w:rsid w:val="296240DA"/>
    <w:rsid w:val="29856C44"/>
    <w:rsid w:val="29C235A5"/>
    <w:rsid w:val="2C0442C4"/>
    <w:rsid w:val="2C510C7A"/>
    <w:rsid w:val="2F1E7104"/>
    <w:rsid w:val="30581AE0"/>
    <w:rsid w:val="30655EEC"/>
    <w:rsid w:val="30F85B67"/>
    <w:rsid w:val="319470F9"/>
    <w:rsid w:val="321947A9"/>
    <w:rsid w:val="32F225AF"/>
    <w:rsid w:val="33E6398A"/>
    <w:rsid w:val="34376493"/>
    <w:rsid w:val="35575444"/>
    <w:rsid w:val="36ED1A80"/>
    <w:rsid w:val="394A6E00"/>
    <w:rsid w:val="3A2F097F"/>
    <w:rsid w:val="3B1F3D36"/>
    <w:rsid w:val="3BE134B6"/>
    <w:rsid w:val="3CEF2353"/>
    <w:rsid w:val="3D2A60DE"/>
    <w:rsid w:val="3DC55B57"/>
    <w:rsid w:val="3E2B74B2"/>
    <w:rsid w:val="3E2E4632"/>
    <w:rsid w:val="3F6D2DBA"/>
    <w:rsid w:val="44250867"/>
    <w:rsid w:val="461C47BC"/>
    <w:rsid w:val="465E0208"/>
    <w:rsid w:val="47B24564"/>
    <w:rsid w:val="48156867"/>
    <w:rsid w:val="4B007631"/>
    <w:rsid w:val="4CAB57EF"/>
    <w:rsid w:val="4E2D52E2"/>
    <w:rsid w:val="4EE91AC2"/>
    <w:rsid w:val="51DA64ED"/>
    <w:rsid w:val="51FA47FD"/>
    <w:rsid w:val="53C630BD"/>
    <w:rsid w:val="542303E8"/>
    <w:rsid w:val="54864A71"/>
    <w:rsid w:val="54AB69D4"/>
    <w:rsid w:val="55B225BB"/>
    <w:rsid w:val="571F7091"/>
    <w:rsid w:val="57996E43"/>
    <w:rsid w:val="5A0F782D"/>
    <w:rsid w:val="5A3D0634"/>
    <w:rsid w:val="5B127721"/>
    <w:rsid w:val="5CF908D7"/>
    <w:rsid w:val="5E863435"/>
    <w:rsid w:val="5ED06BF6"/>
    <w:rsid w:val="5F2A78FD"/>
    <w:rsid w:val="60E23CB5"/>
    <w:rsid w:val="619217F4"/>
    <w:rsid w:val="61A46D2B"/>
    <w:rsid w:val="621F2518"/>
    <w:rsid w:val="64857D1E"/>
    <w:rsid w:val="678062C1"/>
    <w:rsid w:val="68983480"/>
    <w:rsid w:val="690D60AC"/>
    <w:rsid w:val="698C6BA4"/>
    <w:rsid w:val="6B412278"/>
    <w:rsid w:val="6C582079"/>
    <w:rsid w:val="6C7A2126"/>
    <w:rsid w:val="6C976D2D"/>
    <w:rsid w:val="6DFF01C2"/>
    <w:rsid w:val="6E5B4F73"/>
    <w:rsid w:val="70C90C21"/>
    <w:rsid w:val="71A556EC"/>
    <w:rsid w:val="71FE27CB"/>
    <w:rsid w:val="72B3055F"/>
    <w:rsid w:val="732D52CA"/>
    <w:rsid w:val="738A1366"/>
    <w:rsid w:val="746118BF"/>
    <w:rsid w:val="74FE0F0C"/>
    <w:rsid w:val="753C4835"/>
    <w:rsid w:val="75B12214"/>
    <w:rsid w:val="76621970"/>
    <w:rsid w:val="774B399D"/>
    <w:rsid w:val="7A0B2A39"/>
    <w:rsid w:val="7A2D7A3B"/>
    <w:rsid w:val="7B39FD98"/>
    <w:rsid w:val="7BCE5416"/>
    <w:rsid w:val="7CC320E9"/>
    <w:rsid w:val="7D450838"/>
    <w:rsid w:val="7DF80FDE"/>
    <w:rsid w:val="7E7B4585"/>
    <w:rsid w:val="7EC56D5D"/>
    <w:rsid w:val="7EC85AFB"/>
    <w:rsid w:val="7FA2FE7D"/>
    <w:rsid w:val="7FCBA5AE"/>
    <w:rsid w:val="87B6941F"/>
    <w:rsid w:val="9FD5136A"/>
    <w:rsid w:val="B733EE86"/>
    <w:rsid w:val="BB793281"/>
    <w:rsid w:val="DBE5FA22"/>
    <w:rsid w:val="F3779CF4"/>
    <w:rsid w:val="F5FF4AAD"/>
    <w:rsid w:val="FDFF37DC"/>
    <w:rsid w:val="FFEF6EC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left="440" w:leftChars="200"/>
      <w:jc w:val="both"/>
    </w:pPr>
    <w:rPr>
      <w:rFonts w:ascii="Times New Roman" w:hAnsi="Times New Roman" w:eastAsia="宋体" w:cs="Times New Roman"/>
      <w:kern w:val="2"/>
      <w:sz w:val="22"/>
      <w:szCs w:val="24"/>
      <w:lang w:val="en-US" w:eastAsia="zh-CN" w:bidi="ar-SA"/>
    </w:rPr>
  </w:style>
  <w:style w:type="paragraph" w:styleId="2">
    <w:name w:val="heading 1"/>
    <w:basedOn w:val="1"/>
    <w:next w:val="1"/>
    <w:link w:val="30"/>
    <w:qFormat/>
    <w:uiPriority w:val="0"/>
    <w:pPr>
      <w:keepNext/>
      <w:keepLines/>
      <w:numPr>
        <w:ilvl w:val="0"/>
        <w:numId w:val="1"/>
      </w:numPr>
      <w:spacing w:beforeLines="0" w:afterLines="0" w:line="360" w:lineRule="auto"/>
      <w:ind w:left="0" w:leftChars="0" w:firstLine="0" w:firstLineChars="0"/>
      <w:outlineLvl w:val="0"/>
    </w:pPr>
    <w:rPr>
      <w:rFonts w:ascii="Times New Roman" w:hAnsi="Times New Roman"/>
      <w:b/>
      <w:bCs/>
      <w:kern w:val="44"/>
      <w:szCs w:val="44"/>
    </w:rPr>
  </w:style>
  <w:style w:type="paragraph" w:styleId="3">
    <w:name w:val="heading 2"/>
    <w:basedOn w:val="1"/>
    <w:next w:val="1"/>
    <w:link w:val="34"/>
    <w:qFormat/>
    <w:uiPriority w:val="0"/>
    <w:pPr>
      <w:keepNext/>
      <w:keepLines/>
      <w:numPr>
        <w:ilvl w:val="1"/>
        <w:numId w:val="1"/>
      </w:numPr>
      <w:adjustRightInd/>
      <w:snapToGrid/>
      <w:spacing w:line="360" w:lineRule="auto"/>
      <w:ind w:left="0" w:leftChars="0" w:firstLine="0" w:firstLineChars="0"/>
      <w:outlineLvl w:val="1"/>
    </w:pPr>
    <w:rPr>
      <w:rFonts w:ascii="Times New Roman" w:hAnsi="Times New Roman"/>
      <w:bCs/>
    </w:rPr>
  </w:style>
  <w:style w:type="paragraph" w:styleId="4">
    <w:name w:val="heading 3"/>
    <w:basedOn w:val="1"/>
    <w:next w:val="1"/>
    <w:link w:val="29"/>
    <w:qFormat/>
    <w:uiPriority w:val="0"/>
    <w:pPr>
      <w:keepNext/>
      <w:numPr>
        <w:ilvl w:val="2"/>
        <w:numId w:val="1"/>
      </w:numPr>
      <w:tabs>
        <w:tab w:val="left" w:leader="dot" w:pos="210"/>
        <w:tab w:val="left" w:pos="460"/>
      </w:tabs>
      <w:spacing w:line="360" w:lineRule="auto"/>
      <w:ind w:left="0" w:leftChars="0" w:firstLine="0" w:firstLineChars="0"/>
      <w:outlineLvl w:val="2"/>
    </w:pPr>
    <w:rPr>
      <w:rFonts w:ascii="Times New Roman" w:hAnsi="Times New Roman"/>
    </w:rPr>
  </w:style>
  <w:style w:type="paragraph" w:styleId="5">
    <w:name w:val="heading 4"/>
    <w:basedOn w:val="1"/>
    <w:next w:val="1"/>
    <w:unhideWhenUsed/>
    <w:qFormat/>
    <w:uiPriority w:val="0"/>
    <w:pPr>
      <w:keepNext/>
      <w:keepLines/>
      <w:numPr>
        <w:ilvl w:val="3"/>
        <w:numId w:val="1"/>
      </w:numPr>
      <w:spacing w:beforeLines="0" w:beforeAutospacing="0" w:afterLines="0" w:afterAutospacing="0" w:line="360" w:lineRule="auto"/>
      <w:ind w:left="0" w:leftChars="0" w:firstLine="0" w:firstLineChars="0"/>
      <w:outlineLvl w:val="3"/>
    </w:pPr>
    <w:rPr>
      <w:rFonts w:ascii="Times New Roman" w:hAnsi="Times New Roman"/>
    </w:rPr>
  </w:style>
  <w:style w:type="paragraph" w:styleId="6">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leftChars="0" w:hanging="1008"/>
      <w:outlineLvl w:val="4"/>
    </w:pPr>
    <w:rPr>
      <w:b/>
      <w:sz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leftChars="0" w:hanging="1151"/>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leftChars="0" w:hanging="1296"/>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leftChars="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leftChars="0" w:hanging="1583"/>
      <w:outlineLvl w:val="8"/>
    </w:pPr>
    <w:rPr>
      <w:rFonts w:ascii="Arial" w:hAnsi="Arial" w:eastAsia="黑体"/>
      <w:sz w:val="21"/>
    </w:rPr>
  </w:style>
  <w:style w:type="character" w:default="1" w:styleId="24">
    <w:name w:val="Default Paragraph Font"/>
    <w:semiHidden/>
    <w:qFormat/>
    <w:uiPriority w:val="0"/>
  </w:style>
  <w:style w:type="table" w:default="1" w:styleId="22">
    <w:name w:val="Normal Table"/>
    <w:unhideWhenUsed/>
    <w:qFormat/>
    <w:uiPriority w:val="99"/>
    <w:tblPr>
      <w:tblCellMar>
        <w:top w:w="0" w:type="dxa"/>
        <w:left w:w="108" w:type="dxa"/>
        <w:bottom w:w="0" w:type="dxa"/>
        <w:right w:w="108" w:type="dxa"/>
      </w:tblCellMar>
    </w:tblPr>
  </w:style>
  <w:style w:type="paragraph" w:styleId="11">
    <w:name w:val="annotation text"/>
    <w:basedOn w:val="1"/>
    <w:qFormat/>
    <w:uiPriority w:val="0"/>
    <w:pPr>
      <w:numPr>
        <w:ilvl w:val="0"/>
        <w:numId w:val="2"/>
      </w:numPr>
      <w:jc w:val="left"/>
    </w:pPr>
    <w:rPr>
      <w:rFonts w:ascii="Times New Roman" w:hAnsi="Times New Roman"/>
    </w:rPr>
  </w:style>
  <w:style w:type="paragraph" w:styleId="12">
    <w:name w:val="Body Text"/>
    <w:basedOn w:val="1"/>
    <w:link w:val="33"/>
    <w:qFormat/>
    <w:uiPriority w:val="0"/>
    <w:pPr>
      <w:spacing w:after="120" w:afterLines="0"/>
    </w:pPr>
  </w:style>
  <w:style w:type="paragraph" w:styleId="13">
    <w:name w:val="Body Text Indent"/>
    <w:basedOn w:val="1"/>
    <w:qFormat/>
    <w:uiPriority w:val="0"/>
    <w:pPr>
      <w:spacing w:line="360" w:lineRule="auto"/>
      <w:ind w:firstLine="480" w:firstLineChars="200"/>
      <w:jc w:val="left"/>
    </w:pPr>
    <w:rPr>
      <w:sz w:val="24"/>
    </w:rPr>
  </w:style>
  <w:style w:type="paragraph" w:styleId="14">
    <w:name w:val="Date"/>
    <w:basedOn w:val="1"/>
    <w:next w:val="1"/>
    <w:qFormat/>
    <w:uiPriority w:val="0"/>
    <w:pPr>
      <w:jc w:val="right"/>
    </w:pPr>
    <w:rPr>
      <w:rFonts w:ascii="DFKai-SB" w:eastAsia="DFKai-SB"/>
      <w:sz w:val="28"/>
      <w:lang w:eastAsia="zh-TW"/>
    </w:rPr>
  </w:style>
  <w:style w:type="paragraph" w:styleId="15">
    <w:name w:val="Body Text Indent 2"/>
    <w:basedOn w:val="1"/>
    <w:qFormat/>
    <w:uiPriority w:val="0"/>
    <w:pPr>
      <w:spacing w:after="120" w:afterLines="0" w:line="480" w:lineRule="auto"/>
      <w:ind w:left="420" w:leftChars="200"/>
    </w:pPr>
  </w:style>
  <w:style w:type="paragraph" w:styleId="16">
    <w:name w:val="footer"/>
    <w:basedOn w:val="1"/>
    <w:qFormat/>
    <w:uiPriority w:val="0"/>
    <w:pPr>
      <w:tabs>
        <w:tab w:val="center" w:pos="4153"/>
        <w:tab w:val="right" w:pos="8306"/>
      </w:tabs>
      <w:snapToGrid w:val="0"/>
      <w:jc w:val="left"/>
    </w:pPr>
    <w:rPr>
      <w:sz w:val="18"/>
      <w:szCs w:val="18"/>
    </w:rPr>
  </w:style>
  <w:style w:type="paragraph" w:styleId="1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39"/>
    <w:pPr>
      <w:tabs>
        <w:tab w:val="right" w:leader="dot" w:pos="9060"/>
      </w:tabs>
      <w:jc w:val="left"/>
    </w:pPr>
    <w:rPr>
      <w:rFonts w:ascii="华文细黑" w:eastAsia="华文细黑"/>
      <w:sz w:val="21"/>
      <w:szCs w:val="24"/>
    </w:rPr>
  </w:style>
  <w:style w:type="paragraph" w:styleId="19">
    <w:name w:val="Body Text 2"/>
    <w:basedOn w:val="1"/>
    <w:qFormat/>
    <w:uiPriority w:val="0"/>
    <w:pPr>
      <w:spacing w:after="120" w:afterLines="0" w:afterAutospacing="0" w:line="480" w:lineRule="auto"/>
    </w:pPr>
  </w:style>
  <w:style w:type="paragraph" w:styleId="2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21">
    <w:name w:val="Normal (Web)"/>
    <w:basedOn w:val="1"/>
    <w:qFormat/>
    <w:uiPriority w:val="0"/>
    <w:rPr>
      <w:sz w:val="24"/>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qFormat/>
    <w:uiPriority w:val="0"/>
    <w:rPr>
      <w:sz w:val="21"/>
      <w:szCs w:val="21"/>
    </w:rPr>
  </w:style>
  <w:style w:type="character" w:customStyle="1" w:styleId="29">
    <w:name w:val="标题 3 Char"/>
    <w:link w:val="4"/>
    <w:qFormat/>
    <w:uiPriority w:val="0"/>
    <w:rPr>
      <w:rFonts w:ascii="Times New Roman" w:hAnsi="Times New Roman" w:eastAsia="宋体"/>
    </w:rPr>
  </w:style>
  <w:style w:type="character" w:customStyle="1" w:styleId="30">
    <w:name w:val="标题 1 Char"/>
    <w:link w:val="2"/>
    <w:qFormat/>
    <w:uiPriority w:val="0"/>
    <w:rPr>
      <w:rFonts w:ascii="Times New Roman" w:hAnsi="Times New Roman" w:eastAsia="宋体"/>
      <w:b/>
      <w:bCs/>
      <w:kern w:val="44"/>
      <w:sz w:val="22"/>
      <w:szCs w:val="44"/>
    </w:rPr>
  </w:style>
  <w:style w:type="paragraph" w:customStyle="1" w:styleId="31">
    <w:name w:val="标题5"/>
    <w:next w:val="1"/>
    <w:qFormat/>
    <w:uiPriority w:val="0"/>
    <w:pPr>
      <w:numPr>
        <w:ilvl w:val="0"/>
        <w:numId w:val="3"/>
      </w:numPr>
      <w:tabs>
        <w:tab w:val="left" w:pos="0"/>
        <w:tab w:val="left" w:pos="420"/>
        <w:tab w:val="left" w:pos="840"/>
      </w:tabs>
      <w:spacing w:line="360" w:lineRule="auto"/>
      <w:ind w:left="661" w:leftChars="200" w:hanging="221" w:hangingChars="100"/>
    </w:pPr>
    <w:rPr>
      <w:rFonts w:ascii="Times New Roman" w:hAnsi="Times New Roman" w:eastAsia="宋体" w:cs="Times New Roman"/>
      <w:sz w:val="22"/>
    </w:rPr>
  </w:style>
  <w:style w:type="paragraph" w:customStyle="1" w:styleId="32">
    <w:name w:val="标题6"/>
    <w:basedOn w:val="1"/>
    <w:qFormat/>
    <w:uiPriority w:val="0"/>
    <w:pPr>
      <w:numPr>
        <w:ilvl w:val="0"/>
        <w:numId w:val="4"/>
      </w:numPr>
      <w:ind w:left="661" w:leftChars="200" w:hanging="221" w:hangingChars="100"/>
    </w:pPr>
    <w:rPr>
      <w:rFonts w:ascii="Times New Roman" w:hAnsi="Times New Roman"/>
    </w:rPr>
  </w:style>
  <w:style w:type="character" w:customStyle="1" w:styleId="33">
    <w:name w:val="正文文本 Char"/>
    <w:link w:val="12"/>
    <w:qFormat/>
    <w:uiPriority w:val="0"/>
    <w:rPr>
      <w:kern w:val="2"/>
      <w:sz w:val="21"/>
      <w:szCs w:val="24"/>
    </w:rPr>
  </w:style>
  <w:style w:type="character" w:customStyle="1" w:styleId="34">
    <w:name w:val="标题 2 Char"/>
    <w:link w:val="3"/>
    <w:qFormat/>
    <w:uiPriority w:val="0"/>
    <w:rPr>
      <w:rFonts w:ascii="Times New Roman" w:hAnsi="Times New Roman"/>
      <w:bCs/>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header" Target="header4.xml"/><Relationship Id="rId11" Type="http://schemas.openxmlformats.org/officeDocument/2006/relationships/footer" Target="footer2.xml"/><Relationship Id="rId10" Type="http://schemas.openxmlformats.org/officeDocument/2006/relationships/footer" Target="footer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1028" textRotate="1"/>
    <customShpInfo spid="_x0000_s1029" textRotate="1"/>
    <customShpInfo spid="_x0000_s1030" textRotate="1"/>
    <customShpInfo spid="_x0000_s1031" textRotate="1"/>
    <customShpInfo spid="_x0000_s1032" textRotate="1"/>
    <customShpInfo spid="_x0000_s1033" textRotate="1"/>
    <customShpInfo spid="_x0000_s1034" textRotate="1"/>
    <customShpInfo spid="_x0000_s1035" textRotate="1"/>
    <customShpInfo spid="_x0000_s1036"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6173</Words>
  <Characters>6329</Characters>
  <Lines>12</Lines>
  <Paragraphs>3</Paragraphs>
  <TotalTime>1</TotalTime>
  <ScaleCrop>false</ScaleCrop>
  <LinksUpToDate>false</LinksUpToDate>
  <CharactersWithSpaces>6525</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2011-05-08T09:27:00Z</dcterms:created>
  <dc:creator>Administrators</dc:creator>
  <cp:lastModifiedBy>刘新元</cp:lastModifiedBy>
  <cp:lastPrinted>2022-11-15T10:06:00Z</cp:lastPrinted>
  <dcterms:modified xsi:type="dcterms:W3CDTF">2026-07-16T22:56:01Z</dcterms:modified>
  <dc:title>◆ ISO9001：2000</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12E06A48A4CC4403AE8AAA175552C6B6</vt:lpwstr>
  </property>
  <property fmtid="{D5CDD505-2E9C-101B-9397-08002B2CF9AE}" pid="4" name="KSOTemplateDocerSaveRecord">
    <vt:lpwstr>eyJoZGlkIjoiNThjZWI5MjUwOGJjNjg2N2ZiNzA3ZTVjYzlhZmYyZGUiLCJ1c2VySWQiOiIzMTgxOTYzMDIifQ==</vt:lpwstr>
  </property>
</Properties>
</file>