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46E99">
      <w:pPr>
        <w:rPr>
          <w:rFonts w:hint="default" w:ascii="Times New Roman Regular" w:hAnsi="Times New Roman Regular" w:eastAsia="PingFang SC Regular" w:cs="Times New Roman Regular"/>
        </w:rPr>
      </w:pPr>
    </w:p>
    <w:p w14:paraId="1FEC0CED">
      <w:pPr>
        <w:rPr>
          <w:rFonts w:hint="default" w:ascii="Times New Roman Regular" w:hAnsi="Times New Roman Regular" w:eastAsia="PingFang SC Regular" w:cs="Times New Roman Regular"/>
        </w:rPr>
      </w:pPr>
    </w:p>
    <w:p w14:paraId="10F28357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1F3864"/>
          <w:sz w:val="56"/>
        </w:rPr>
        <w:t>宝 锐 生 物</w:t>
      </w:r>
    </w:p>
    <w:p w14:paraId="2A55FF2A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t>2026年客户满意度调研</w:t>
      </w: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t>—— 区域客户需求特点分析 ——</w:t>
      </w:r>
    </w:p>
    <w:p w14:paraId="29A9F4D2">
      <w:pPr>
        <w:rPr>
          <w:rFonts w:hint="default" w:ascii="Times New Roman Regular" w:hAnsi="Times New Roman Regular" w:eastAsia="PingFang SC Regular" w:cs="Times New Roman Regular"/>
        </w:rPr>
      </w:pPr>
    </w:p>
    <w:p w14:paraId="3450600C">
      <w:pPr>
        <w:rPr>
          <w:rFonts w:hint="default" w:ascii="Times New Roman Regular" w:hAnsi="Times New Roman Regular" w:eastAsia="PingFang SC Regular" w:cs="Times New Roman Regular"/>
        </w:rPr>
      </w:pPr>
    </w:p>
    <w:p w14:paraId="2982C758">
      <w:pPr>
        <w:rPr>
          <w:rFonts w:hint="default" w:ascii="Times New Roman Regular" w:hAnsi="Times New Roman Regular" w:eastAsia="PingFang SC Regular" w:cs="Times New Roman Regular"/>
        </w:rPr>
      </w:pPr>
    </w:p>
    <w:p w14:paraId="6455E423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888888"/>
          <w:sz w:val="20"/>
        </w:rPr>
        <w:t>覆盖12个重点城市，470份有效问卷  |  供产品部、销售部决策参考</w:t>
      </w:r>
    </w:p>
    <w:p w14:paraId="15DC4E7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6AA07830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一、区域总览：12城核心指标速查</w:t>
      </w:r>
    </w:p>
    <w:p w14:paraId="506E50F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以下表格按样本量排序，一表看清各城市在满意度、竞争格局、痛点和产品偏好上的差异。颜色越深表示偏差越大/风险越高。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14:paraId="74B99A5B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E969DE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城市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60511A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n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5BE7C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Q1质量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3C4A69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Q2销售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B5647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Q4技术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6D738CB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宝锐渗透率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E8322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最大痛点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FF034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价格评价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38CEF0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销售改进TOP1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DE2404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技术改进TOP1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1C933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产品偏好TOP1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45843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产品改进主题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5538F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风险</w:t>
            </w:r>
          </w:p>
        </w:tc>
      </w:tr>
      <w:tr w14:paraId="3B2F0596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D6C9B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广州市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855B0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60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EFE25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3C6532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474C3C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31425C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8E4AD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7226B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59946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CBE66C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EBD789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7A61E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灵敏度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B0CE8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520594E1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703322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北京市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B1B967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53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348B9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CBA8B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9.5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E5352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9.2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79C3C1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36% ██░░░░░░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AD092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16E1F4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4F80F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B9924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9E2DF3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847B7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抗抑制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B1D46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2C0D0C43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41DA4B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深圳市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D69C9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44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07CEB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4CD64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9.7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FBD875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29E34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70% █████░░░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09F8AD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1291F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3E2B2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47541E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027DB5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67E2F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稳定性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DDAA9A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低</w:t>
            </w:r>
          </w:p>
        </w:tc>
      </w:tr>
      <w:tr w14:paraId="18DA9DC3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9092F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上海市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5BCB5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43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06258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DC384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9.6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57773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142456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51%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D5749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8D0A2C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A48B0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103508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准确推荐产品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B9753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748B0E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稳定性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24B715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15533C08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86AAB4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杭州市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E7A88B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40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872F2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9.2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243AD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9.7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539F46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802B0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62% █████░░░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A45292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D1425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6F660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778FAE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87DD54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88F36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E462A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低</w:t>
            </w:r>
          </w:p>
        </w:tc>
      </w:tr>
      <w:tr w14:paraId="60017025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A17C83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长沙市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3EBFC4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31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77DE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2334CE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9.2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F9D649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D2E37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61%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0804E9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85F704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适中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9B4D5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9BE7E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充分理解需求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C51ED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44201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4E027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15BCC6E4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32F0B7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厦门市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17E3C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28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301FD8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D27FE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9.6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C29E2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9.2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F4577F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39% ███░░░░░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49B8C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31E5C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106E74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94B82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9FDB80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A4C2D8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抗抑制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57FE2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7F70869F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B17F5C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成都市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A8216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24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92E4E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8.8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A09E2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9.1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F313B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E1D153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47EFD7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3C8AB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49742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CBDD7F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A6DD1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A6CC8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扩增效率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F6312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  <w:tr w14:paraId="59FCC22E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BA9F6C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武汉市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B5A563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23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506A4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F95951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8297FB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2E75B6"/>
                <w:sz w:val="16"/>
              </w:rPr>
              <w:t>9.2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EA0628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39% ███░░░░░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4A9DE3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DEECC1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5872F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681FE3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3AD6A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AA6B2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抗抑制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82C2A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高</w:t>
            </w:r>
          </w:p>
        </w:tc>
      </w:tr>
      <w:tr w14:paraId="5E628484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9A1B97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天津市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171D2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18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E4A5E9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AF91A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9.7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FB3C0B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9.6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0358D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B0C4D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其他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A7DD9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B96466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产品资料更新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A581F7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B40B8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A93FD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稳定性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A3AB0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低</w:t>
            </w:r>
          </w:p>
        </w:tc>
      </w:tr>
      <w:tr w14:paraId="57A6DB39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006DA4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珠海市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6D546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16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BC7A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9.5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0E25E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9.6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DB4C4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6"/>
              </w:rPr>
              <w:t>9.4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5AC1F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69% █████░░░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9CB4F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价格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43BD98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偏低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55474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行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业知识积累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91495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344E0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多重PCR探针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E4D2D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冻干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80460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低</w:t>
            </w:r>
          </w:p>
        </w:tc>
      </w:tr>
      <w:tr w14:paraId="20C4E99C">
        <w:trPr>
          <w:jc w:val="center"/>
        </w:trPr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701025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西安市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24118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10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F9CB5E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4E62CD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8.9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751557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ED7D31"/>
                <w:sz w:val="16"/>
              </w:rPr>
              <w:t>8.8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43066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60% ████░░░░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6F99F0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其他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C3DEA4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很低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265AF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售后服务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54D1A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有效帮助解决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0B7E3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分子POCT冻干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298E88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稳定性</w:t>
            </w:r>
          </w:p>
        </w:tc>
        <w:tc>
          <w:tcPr>
            <w:tcW w:w="113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89A6E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中</w:t>
            </w:r>
          </w:p>
        </w:tc>
      </w:tr>
    </w:tbl>
    <w:p w14:paraId="73BF86B6">
      <w:pPr>
        <w:rPr>
          <w:rFonts w:hint="default" w:ascii="Times New Roman Regular" w:hAnsi="Times New Roman Regular" w:eastAsia="PingFang SC Regular" w:cs="Times New Roman Regular"/>
        </w:rPr>
      </w:pPr>
    </w:p>
    <w:p w14:paraId="6AA661D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关键发现：</w:t>
      </w:r>
    </w:p>
    <w:p w14:paraId="6D87862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① 北京/武汉/厦门 宝锐渗透率&lt;40%，属于「待攻坚区域」→ 竞品诺唯赞/菲鹏已占优势，需差异化策略</w:t>
      </w:r>
    </w:p>
    <w:p w14:paraId="45D0AC1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② 深圳/杭州/珠海 宝锐渗透率&gt;60%，属于「根据地」→ 重点维护，通过服务深度绑定</w:t>
      </w:r>
    </w:p>
    <w:p w14:paraId="1AEF517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③ 西安/广州/成都 综合评分偏低，属于「风险区域」→ 需专项回访排查原因</w:t>
      </w:r>
    </w:p>
    <w:p w14:paraId="30CACEA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④ 上海/深圳 稳定性反馈突出 → 产品部门优先解决批间差问题</w:t>
      </w:r>
    </w:p>
    <w:p w14:paraId="6EC870F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⑤ 成都/北京 甲基化早筛热度高于均值 → 可作为新业务线试点区域</w:t>
      </w:r>
    </w:p>
    <w:p w14:paraId="60D8EEC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2419B1A6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二、各重点城市客户画像（按样本量排序）</w:t>
      </w:r>
    </w:p>
    <w:p w14:paraId="46E87883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广州市（60份）</w:t>
      </w:r>
    </w:p>
    <w:p w14:paraId="51EE57B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8.9  销售 9.4  技术 8.9  |  宝锐渗透率 50%</w:t>
      </w:r>
    </w:p>
    <w:p w14:paraId="3993377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51人(85%) | 采购 8人(13%) | 销售/市场 1人(2%)</w:t>
      </w:r>
    </w:p>
    <w:p w14:paraId="6822799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使用时长：5年:23 | 4年:14 | 3年:8</w:t>
      </w:r>
    </w:p>
    <w:p w14:paraId="64C469B8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6638057A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0E86EF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245555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6354EE9E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4FFAC62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供应商分布：诺唯赞/菲鹏=33人  宝锐=30人  翌圣/全式金=18人  Roche/Qiagen=10人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607F1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销售改进TOP3：产品资料更新(30)、学术宣讲(14)、售后服务(7)</w:t>
            </w:r>
          </w:p>
        </w:tc>
      </w:tr>
      <w:tr w14:paraId="78B0A45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25A943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最不满意：价格(26)、其他(14)、产品性能(12)、技术支持(5)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65CC5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技术支持改进TOP3：有效帮助解决(26)、准确推荐产品(14)、充分理解需求(12)</w:t>
            </w:r>
          </w:p>
        </w:tc>
      </w:tr>
      <w:tr w14:paraId="6ACF060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F5657F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产品热点TOP4：多重PCR探针(46)、超多重PCR熔解(27)、分子POCT冻干(24)、液体全预混(18)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A7309B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产品改进主题：灵敏度(6)、价格(2)、抗抑制(1)</w:t>
            </w:r>
          </w:p>
        </w:tc>
      </w:tr>
      <w:tr w14:paraId="488CC9C9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47E3BAF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▎策略建议：竞品诺唯赞渗透超宝锐→强化学术宣讲+产品资料更新，主打灵敏度/特异性优势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781F34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6121F785">
      <w:pPr>
        <w:rPr>
          <w:rFonts w:hint="default" w:ascii="Times New Roman Regular" w:hAnsi="Times New Roman Regular" w:eastAsia="PingFang SC Regular" w:cs="Times New Roman Regular"/>
        </w:rPr>
      </w:pPr>
    </w:p>
    <w:p w14:paraId="13EB1CCF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北京市（53份）</w:t>
      </w:r>
    </w:p>
    <w:p w14:paraId="7FE0863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9.1  销售 9.5  技术 9.2  |  宝锐渗透率 36%</w:t>
      </w:r>
    </w:p>
    <w:p w14:paraId="625017F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42人(79%) | 采购 9人(17%) | 销售/市场 2人(4%)</w:t>
      </w:r>
    </w:p>
    <w:p w14:paraId="69A2200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使用时长：5年:27 | 3年:10 | 4年:5</w:t>
      </w:r>
    </w:p>
    <w:p w14:paraId="1C548760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12BDDDFD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1E55C2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C5364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724D84ED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5AB1E6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供应商分布：诺唯赞/菲鹏=26人  宝锐=19人  翌圣/全式金=13人  Roche/Qiagen=12人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2C21D3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销售改进TOP3：产品资料更新(16)、学术宣讲(10)、行业知识积累(7)</w:t>
            </w:r>
          </w:p>
        </w:tc>
      </w:tr>
      <w:tr w14:paraId="3B2663CB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36F533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最不满意：价格(22)、其他(12)、产品性能(8)、需求响应(8)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DE435F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技术支持改进TOP3：有效帮助解决(16)、准确推荐产品(13)、验证实验效率(9)</w:t>
            </w:r>
          </w:p>
        </w:tc>
      </w:tr>
      <w:tr w14:paraId="4434C38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402B4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产品热点TOP4：多重PCR探针(26)、分子POCT冻干(24)、液体全预混(18)、超多重PCR熔解(15)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89270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产品改进主题：抗抑制(3)、价格(2)、酶活性(2)</w:t>
            </w:r>
          </w:p>
        </w:tc>
      </w:tr>
      <w:tr w14:paraId="753B0D1D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51D1187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▎策略建议：渗透率最低36%，进口品牌竞争强→学术会议突破+甲基化早筛新业务试点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14D4C4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6AF39DEA">
      <w:pPr>
        <w:rPr>
          <w:rFonts w:hint="default" w:ascii="Times New Roman Regular" w:hAnsi="Times New Roman Regular" w:eastAsia="PingFang SC Regular" w:cs="Times New Roman Regular"/>
        </w:rPr>
      </w:pPr>
    </w:p>
    <w:p w14:paraId="6225817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深圳市（44份）</w:t>
      </w:r>
    </w:p>
    <w:p w14:paraId="6ACC561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9.1  销售 9.7  技术 9.1  |  宝锐渗透率 70%</w:t>
      </w:r>
    </w:p>
    <w:p w14:paraId="6206C0A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36人(82%) | 采购 5人(11%) | 销售/市场 3人(7%)</w:t>
      </w:r>
    </w:p>
    <w:p w14:paraId="5C2A044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使用时长：5年:19 | 4年:10 | 6年:6</w:t>
      </w:r>
    </w:p>
    <w:p w14:paraId="61CB4D1A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701B9538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7500EB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68B704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4FBBA8BA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686718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供应商分布：宝锐=31人  诺唯赞/菲鹏=20人  翌圣/全式金=8人  TOYOBO等=7人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B3BB4A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销售改进TOP3：产品资料更新(18)、行业知识积累(10)、学术宣讲(8)</w:t>
            </w:r>
          </w:p>
        </w:tc>
      </w:tr>
      <w:tr w14:paraId="06808768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19AFC63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最不满意：价格(14)、其他(13)、技术支持(10)、质量(7)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6B0E57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技术支持改进TOP3：有效帮助解决(19)、充分理解需求(12)、准确推荐产品(10)</w:t>
            </w:r>
          </w:p>
        </w:tc>
      </w:tr>
      <w:tr w14:paraId="26DAC30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2227D88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产品热点TOP4：多重PCR探针(36)、分子POCT冻干(25)、超多重PCR熔解(16)、液体全预混(15)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4C081C5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产品改进主题：稳定性(5)、价格(2)、扩增效率(2)</w:t>
            </w:r>
          </w:p>
        </w:tc>
      </w:tr>
      <w:tr w14:paraId="22FD1EFB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0D6F181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▎策略建议：渗透率最高70%，稳定性反馈突出→深度绑定+批间差优先解决，推数字PCR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455239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7E4452BE">
      <w:pPr>
        <w:rPr>
          <w:rFonts w:hint="default" w:ascii="Times New Roman Regular" w:hAnsi="Times New Roman Regular" w:eastAsia="PingFang SC Regular" w:cs="Times New Roman Regular"/>
        </w:rPr>
      </w:pPr>
    </w:p>
    <w:p w14:paraId="1A52060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上海市（43份）</w:t>
      </w:r>
    </w:p>
    <w:p w14:paraId="07BB930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8.9  销售 9.6  技术 9.1  |  宝锐渗透率 51%</w:t>
      </w:r>
    </w:p>
    <w:p w14:paraId="7AD1AC3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34人(79%) | 采购 8人(19%) | 销售/市场 1人(2%)</w:t>
      </w:r>
    </w:p>
    <w:p w14:paraId="2F176CD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使用时长：5年:17 | 4年:16 | 3年:5</w:t>
      </w:r>
    </w:p>
    <w:p w14:paraId="319C865E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2D826CA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79DA8F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3E4B39E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2424769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1B61A4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供应商分布：诺唯赞/菲鹏=28人  宝锐=22人  翌圣/全式金=9人  Roche/Qiagen=9人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3E08FA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销售改进TOP3：产品资料更新(15)、学术宣讲(7)、行业知识积累(6)</w:t>
            </w:r>
          </w:p>
        </w:tc>
      </w:tr>
      <w:tr w14:paraId="56DE818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83CB62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最不满意：价格(13)、质量(9)、产品性能(7)、其他(7)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A94F78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技术支持改进TOP3：准确推荐产品(16)、有效帮助解决(13)、充分理解需求(8)</w:t>
            </w:r>
          </w:p>
        </w:tc>
      </w:tr>
      <w:tr w14:paraId="6235583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8C8571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产品热点TOP4：多重PCR探针(25)、分子POCT冻干(17)、超多重PCR熔解(11)、液体全预混(11)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A7F8FB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产品改进主题：稳定性(7)、抗抑制(2)、灵敏度(2)</w:t>
            </w:r>
          </w:p>
        </w:tc>
      </w:tr>
      <w:tr w14:paraId="25F3EAA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071F2E6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▎策略建议：质量不满意多+稳定性7条→产品稳定性重点攻坚，诺唯赞强势需差异化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3CA0B2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2C379914">
      <w:pPr>
        <w:rPr>
          <w:rFonts w:hint="default" w:ascii="Times New Roman Regular" w:hAnsi="Times New Roman Regular" w:eastAsia="PingFang SC Regular" w:cs="Times New Roman Regular"/>
        </w:rPr>
      </w:pPr>
    </w:p>
    <w:p w14:paraId="434E5D1A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杭州市（40份）</w:t>
      </w:r>
    </w:p>
    <w:p w14:paraId="159BE5E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9.2  销售 9.7  技术 9.4  |  宝锐渗透率 62%</w:t>
      </w:r>
    </w:p>
    <w:p w14:paraId="6CF64AD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38人(95%) | 销售/市场 1人(2%) | 采购 1人(2%)</w:t>
      </w:r>
    </w:p>
    <w:p w14:paraId="0C890D3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使用时长：5年:16 | 3年:6 | 4年:6</w:t>
      </w:r>
    </w:p>
    <w:p w14:paraId="573A12DF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0F263095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00343D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2C6986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3933244F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6F8B82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供应商分布：宝锐=25人  诺唯赞/菲鹏=16人  翌圣/全式金=15人  Roche/Qiagen=4人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276CA2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销售改进TOP3：产品资料更新(16)、学术宣讲(7)、行业知识积累(6)</w:t>
            </w:r>
          </w:p>
        </w:tc>
      </w:tr>
      <w:tr w14:paraId="394B72E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273230F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最不满意：价格(15)、其他(14)、产品性能(5)、需求响应(3)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2484DA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技术支持改进TOP3：有效帮助解决(11)、充分理解需求(8)、准确推荐产品(8)</w:t>
            </w:r>
          </w:p>
        </w:tc>
      </w:tr>
      <w:tr w14:paraId="11E45DC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A039E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产品热点TOP4：多重PCR探针(28)、分子POCT冻干(22)、超多重PCR熔解(14)、液体全预混(12)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D086E6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产品改进主题：价格(4)、扩增效率(2)、抗抑制(2)</w:t>
            </w:r>
          </w:p>
        </w:tc>
      </w:tr>
      <w:tr w14:paraId="3ED77E37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247DA56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▎策略建议：评分最高区域→标杆维护+LAMP方向深挖，采购岗稀少需关注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572FF4C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35D16EDB">
      <w:pPr>
        <w:rPr>
          <w:rFonts w:hint="default" w:ascii="Times New Roman Regular" w:hAnsi="Times New Roman Regular" w:eastAsia="PingFang SC Regular" w:cs="Times New Roman Regular"/>
        </w:rPr>
      </w:pPr>
    </w:p>
    <w:p w14:paraId="4360D56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长沙市（31份）</w:t>
      </w:r>
    </w:p>
    <w:p w14:paraId="6CE749C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8.8  销售 9.2  技术 8.9  |  宝锐渗透率 61%</w:t>
      </w:r>
    </w:p>
    <w:p w14:paraId="3F8F567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23人(74%) | 采购 7人(23%) | 销售/市场 1人(3%)</w:t>
      </w:r>
    </w:p>
    <w:p w14:paraId="55945C4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使用时长：5年:13 | 4年:12 | 3年:3</w:t>
      </w:r>
    </w:p>
    <w:p w14:paraId="1C84B159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30269C01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B1466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7767BF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22B0057B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4ECA08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供应商分布：宝锐=19人  诺唯赞/菲鹏=17人  翌圣/全式金=11人  TOYOBO等=4人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84F261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销售改进TOP3：产品资料更新(10)、即时回复效率(6)、到货时间(4)</w:t>
            </w:r>
          </w:p>
        </w:tc>
      </w:tr>
      <w:tr w14:paraId="7CDF567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1C471B2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最不满意：价格(20)、其他(5)、需求响应(4)、质量(2)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F0DD3C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技术支持改进TOP3：充分理解需求(10)、有效帮助解决(9)、准确推荐产品(7)</w:t>
            </w:r>
          </w:p>
        </w:tc>
      </w:tr>
      <w:tr w14:paraId="00A9EE3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F206EC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产品热点TOP4：多重PCR探针(24)、分子POCT冻干(18)、液体全预混(14)、超多重PCR熔解(12)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5BB8EA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产品改进主题：价格(3)、稳定性(2)、冻干(2)</w:t>
            </w:r>
          </w:p>
        </w:tc>
      </w:tr>
      <w:tr w14:paraId="4D8E393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6BD9A44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▎策略建议：价格评价偏适中→说明本地客户对价格更敏感，配合冻干产品线推广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159C5C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2F983FE9">
      <w:pPr>
        <w:rPr>
          <w:rFonts w:hint="default" w:ascii="Times New Roman Regular" w:hAnsi="Times New Roman Regular" w:eastAsia="PingFang SC Regular" w:cs="Times New Roman Regular"/>
        </w:rPr>
      </w:pPr>
    </w:p>
    <w:p w14:paraId="035DEC5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厦门市（28份）</w:t>
      </w:r>
    </w:p>
    <w:p w14:paraId="5AA06A4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9.4  销售 9.6  技术 9.2  |  宝锐渗透率 39%</w:t>
      </w:r>
    </w:p>
    <w:p w14:paraId="6ABFA1A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17人(61%) | 采购 10人(36%) | 销售/市场 1人(4%)</w:t>
      </w:r>
    </w:p>
    <w:p w14:paraId="36CAE0D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使用时长：5年:11 | 4年:9 | 3年:4</w:t>
      </w:r>
    </w:p>
    <w:p w14:paraId="3D0947A2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73FD1738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07CCA17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0FF83B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3F3D82FE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CD9279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供应商分布：诺唯赞/菲鹏=13人  宝锐=11人  TOYOBO等=8人  翌圣/全式金=6人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DE94D5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销售改进TOP3：产品资料更新(5)、行业知识积累(4)、学术宣讲(4)</w:t>
            </w:r>
          </w:p>
        </w:tc>
      </w:tr>
      <w:tr w14:paraId="7AC5F4C0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6FCDC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最不满意：价格(13)、质量(7)、产品性能(5)、技术支持(5)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2C4C9C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技术支持改进TOP3：有效帮助解决(12)、充分理解需求(8)、验证实验效率(3)</w:t>
            </w:r>
          </w:p>
        </w:tc>
      </w:tr>
      <w:tr w14:paraId="0BFE73F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BF1C99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产品热点TOP4：多重PCR探针(17)、分子POCT冻干(14)、LAMP(6)、超多重PCR熔解(5)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3707EE8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产品改进主题：抗抑制(1)、价格(1)、稳定性(1)</w:t>
            </w:r>
          </w:p>
        </w:tc>
      </w:tr>
      <w:tr w14:paraId="16E7D390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4484FEC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▎策略建议：采购比例最高36%→定向采购人群培训+TOYOBO竞品分析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5B6E01E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4DCB0713">
      <w:pPr>
        <w:rPr>
          <w:rFonts w:hint="default" w:ascii="Times New Roman Regular" w:hAnsi="Times New Roman Regular" w:eastAsia="PingFang SC Regular" w:cs="Times New Roman Regular"/>
        </w:rPr>
      </w:pPr>
    </w:p>
    <w:p w14:paraId="5D2BF3DE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成都市（24份）</w:t>
      </w:r>
    </w:p>
    <w:p w14:paraId="3B9EA33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8.8  销售 9.1  技术 8.9  |  宝锐渗透率 50%</w:t>
      </w:r>
    </w:p>
    <w:p w14:paraId="1420C0C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18人(75%) | 采购 6人(25%)</w:t>
      </w:r>
    </w:p>
    <w:p w14:paraId="7677281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使用时长：5年:9 | 2年:5 | 1年:3</w:t>
      </w:r>
    </w:p>
    <w:p w14:paraId="50331379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5E6A9CF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73487E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B488F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4BCAC745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8AC2D1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供应商分布：诺唯赞/菲鹏=14人  宝锐=12人  翌圣/全式金=6人  TOYOBO等=5人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F54616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销售改进TOP3：产品资料更新(13)、学术宣讲(7)、即时回复效率(6)</w:t>
            </w:r>
          </w:p>
        </w:tc>
      </w:tr>
      <w:tr w14:paraId="62027CAA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1BD5198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最不满意：价格(9)、需求响应(8)、其他(3)、售后服务(3)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2B715C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技术支持改进TOP3：有效帮助解决(8)、准确推荐产品(7)、充分理解需求(5)</w:t>
            </w:r>
          </w:p>
        </w:tc>
      </w:tr>
      <w:tr w14:paraId="6BBCC07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88DB2F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产品热点TOP4：多重PCR探针(11)、分子POCT冻干(9)、甲基化早筛(9)、超多重PCR熔解(8)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6E538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产品改进主题：扩增效率(1)、稳定性(1)、灵敏度(1)</w:t>
            </w:r>
          </w:p>
        </w:tc>
      </w:tr>
      <w:tr w14:paraId="3AAA846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106ACBF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▎策略建议：需求响应不满意突出→提升本地服务响应速度，甲基化早筛试点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06968F2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11936916">
      <w:pPr>
        <w:rPr>
          <w:rFonts w:hint="default" w:ascii="Times New Roman Regular" w:hAnsi="Times New Roman Regular" w:eastAsia="PingFang SC Regular" w:cs="Times New Roman Regular"/>
        </w:rPr>
      </w:pPr>
    </w:p>
    <w:p w14:paraId="10801B03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武汉市（23份）</w:t>
      </w:r>
    </w:p>
    <w:p w14:paraId="323AD9C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8.8  销售 9.8  技术 9.2  |  宝锐渗透率 39%</w:t>
      </w:r>
    </w:p>
    <w:p w14:paraId="5134D29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21人(91%) | 采购 2人(9%)</w:t>
      </w:r>
    </w:p>
    <w:p w14:paraId="6BB6953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使用时长：4年:9 | 5年:8 | 6年:3</w:t>
      </w:r>
    </w:p>
    <w:p w14:paraId="186CF4DD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46D1C02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1AA024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63EC1F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7AB814DE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E076DF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供应商分布：诺唯赞/菲鹏=18人  宝锐=9人  TOYOBO等=6人  翌圣/全式金=4人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B3BFDC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销售改进TOP3：产品资料更新(10)、学术宣讲(4)、售后服务(3)</w:t>
            </w:r>
          </w:p>
        </w:tc>
      </w:tr>
      <w:tr w14:paraId="5858DB5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8E109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最不满意：价格(12)、其他(5)、产品性能(3)、质量(2)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0ABF82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技术支持改进TOP3：有效帮助解决(7)、准确推荐产品(6)、验证实验效率(6)</w:t>
            </w:r>
          </w:p>
        </w:tc>
      </w:tr>
      <w:tr w14:paraId="61087E6F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BAC814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产品热点TOP4：多重PCR探针(13)、分子POCT冻干(12)、液体全预混(10)、释放剂直扩(6)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4598D9D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产品改进主题：抗抑制(3)、灵敏度(2)、扩增效率(2)</w:t>
            </w:r>
          </w:p>
        </w:tc>
      </w:tr>
      <w:tr w14:paraId="40016DB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771603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▎策略建议：诺唯赞绝对优势(18 vs 宝锐9)→抗抑制/耐受功能突破+超快速PCR推广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0FD6E0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3576D6B7">
      <w:pPr>
        <w:rPr>
          <w:rFonts w:hint="default" w:ascii="Times New Roman Regular" w:hAnsi="Times New Roman Regular" w:eastAsia="PingFang SC Regular" w:cs="Times New Roman Regular"/>
        </w:rPr>
      </w:pPr>
    </w:p>
    <w:p w14:paraId="53D38625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天津市（18份）</w:t>
      </w:r>
    </w:p>
    <w:p w14:paraId="7B20A45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9.4  销售 9.7  技术 9.6  |  宝锐渗透率 50%</w:t>
      </w:r>
    </w:p>
    <w:p w14:paraId="477C22A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14人(78%) | 销售/市场 2人(11%) | 采购 2人(11%)</w:t>
      </w:r>
    </w:p>
    <w:p w14:paraId="0C647D0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使用时长：5年:6 | 4年:6 | 6年:5</w:t>
      </w:r>
    </w:p>
    <w:p w14:paraId="6AD56CB0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63CA088E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33D195B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6B6A2E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09C754D8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268060D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供应商分布：宝锐=9人  诺唯赞/菲鹏=7人  Roche/Qiagen=4人  翌圣/全式金=4人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375B8EE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销售改进TOP3：产品资料更新(9)、学术宣讲(3)、行业知识积累(2)</w:t>
            </w:r>
          </w:p>
        </w:tc>
      </w:tr>
      <w:tr w14:paraId="434CA849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F82A1D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最不满意：其他(6)、价格(5)、产品性能(3)、技术支持(1)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99DB82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技术支持改进TOP3：有效帮助解决(5)、行业知识积累(4)、准确推荐产品(2)</w:t>
            </w:r>
          </w:p>
        </w:tc>
      </w:tr>
      <w:tr w14:paraId="4A0369D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B1269A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产品热点TOP4：多重PCR探针(13)、超多重PCR熔解(8)、分子POCT冻干(7)、液体全预混(7)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35FCD28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产品改进主题：稳定性(2)、扩增效率(2)、价格(2)</w:t>
            </w:r>
          </w:p>
        </w:tc>
      </w:tr>
      <w:tr w14:paraId="631B27F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3AA8EAE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▎策略建议：资深客户多，评分高→维持优势，行业知识积累提升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10CCE7C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61DDB642">
      <w:pPr>
        <w:rPr>
          <w:rFonts w:hint="default" w:ascii="Times New Roman Regular" w:hAnsi="Times New Roman Regular" w:eastAsia="PingFang SC Regular" w:cs="Times New Roman Regular"/>
        </w:rPr>
      </w:pPr>
    </w:p>
    <w:p w14:paraId="214F75D6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珠海市（16份）</w:t>
      </w:r>
    </w:p>
    <w:p w14:paraId="2D0F609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9.5  销售 9.6  技术 9.4  |  宝锐渗透率 69%</w:t>
      </w:r>
    </w:p>
    <w:p w14:paraId="2EE58DF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岗位构成：研发/生产 8人(50%) | 采购 8人(50%)</w:t>
      </w:r>
    </w:p>
    <w:p w14:paraId="5DC7FAA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使用时长：5年:6 | 6年:5 | 4年:4</w:t>
      </w:r>
    </w:p>
    <w:p w14:paraId="6DC5FFAC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169C62C8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8155D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01D893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6ABB48B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92B765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供应商分布：宝锐=11人  诺唯赞/菲鹏=7人  Roche/Qiagen=2人  TOYOBO等=1人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5C68E19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销售改进TOP3：行业知识积累(3)、产品资料更新(3)、学术宣讲(1)</w:t>
            </w:r>
          </w:p>
        </w:tc>
      </w:tr>
      <w:tr w14:paraId="2CC8257B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3C2033B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最不满意：价格(8)、其他(7)、需求响应(1)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200389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技术支持改进TOP3：有效帮助解决(3)、充分理解需求(3)、准确推荐产品(2)</w:t>
            </w:r>
          </w:p>
        </w:tc>
      </w:tr>
      <w:tr w14:paraId="56A7A4C9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157210A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产品热点TOP4：多重PCR探针(9)、分子POCT冻干(7)、超多重PCR熔解(4)、释放剂直扩(3)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13569D5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产品改进主题：冻干(1)</w:t>
            </w:r>
          </w:p>
        </w:tc>
      </w:tr>
      <w:tr w14:paraId="1EB576B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215517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▎策略建议：大本营，采购占50%→政企关系维护+稳定供货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319B2CF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7D2F30B4">
      <w:pPr>
        <w:rPr>
          <w:rFonts w:hint="default" w:ascii="Times New Roman Regular" w:hAnsi="Times New Roman Regular" w:eastAsia="PingFang SC Regular" w:cs="Times New Roman Regular"/>
        </w:rPr>
      </w:pPr>
    </w:p>
    <w:p w14:paraId="56CCBD4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西安市（10份）</w:t>
      </w:r>
    </w:p>
    <w:p w14:paraId="045CF71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满意度评分：质量 8.9  销售 8.9  技术 8.8  |  宝锐渗透率 60%</w:t>
      </w:r>
    </w:p>
    <w:p w14:paraId="6ECA2F7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岗位构成：采购 5人(50%) | 研发/生产 5人(50%)</w:t>
      </w:r>
    </w:p>
    <w:p w14:paraId="58D26C6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使用时长：4年:4 | 5年:3 | 6年:2</w:t>
      </w:r>
    </w:p>
    <w:p w14:paraId="7FF92928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66752B11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B3A2A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竞争格局与痛点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2AD3A07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需求与产品方向</w:t>
            </w:r>
          </w:p>
        </w:tc>
      </w:tr>
      <w:tr w14:paraId="5145F1A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EF8EDF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供应商分布：宝锐=6人  翌圣/全式金=4人  诺唯赞/菲鹏=2人  TOYOBO等=1人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4778EC8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销售改进TOP3：售后服务(3)、产品资料更新(3)、行业知识积累(2)</w:t>
            </w:r>
          </w:p>
        </w:tc>
      </w:tr>
      <w:tr w14:paraId="4D4BA65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4331F2B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最不满意：其他(5)、需求响应(3)、价格(2)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34B9971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技术支持改进TOP3：有效帮助解决(4)、充分理解需求(3)、准确推荐产品(2)</w:t>
            </w:r>
          </w:p>
        </w:tc>
      </w:tr>
      <w:tr w14:paraId="7D91C230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2D106B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产品热点TOP4：分子POCT冻干(4)、多重PCR探针(4)、释放剂直扩(3)、液体全预混(3)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4BC265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产品改进主题：稳定性(2)</w:t>
            </w:r>
          </w:p>
        </w:tc>
      </w:tr>
      <w:tr w14:paraId="3A0A80E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15AB289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▎策略建议：评分最低区域，采购主导→专项回访+售后服务改善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8F5E9"/>
          </w:tcPr>
          <w:p w14:paraId="59838A1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6EF15A1A">
      <w:pPr>
        <w:rPr>
          <w:rFonts w:hint="default" w:ascii="Times New Roman Regular" w:hAnsi="Times New Roman Regular" w:eastAsia="PingFang SC Regular" w:cs="Times New Roman Regular"/>
        </w:rPr>
      </w:pPr>
    </w:p>
    <w:p w14:paraId="52A46B2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0E1117BF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三、跨区域对比分析</w:t>
      </w:r>
    </w:p>
    <w:p w14:paraId="159E6305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3.1 竞争力格局：宝锐渗透率 x 竞品渗透率</w:t>
      </w:r>
    </w:p>
    <w:p w14:paraId="68D2489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横向对比12城竞争态势，颜色表示宝锐在该区域的竞争地位（绿=优势 / 红=劣势）。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2960"/>
        <w:gridCol w:w="2960"/>
        <w:gridCol w:w="2960"/>
        <w:gridCol w:w="2960"/>
      </w:tblGrid>
      <w:tr w14:paraId="49F45CFD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56F8C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599B5B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宝锐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68BE6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诺唯赞/菲鹏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11A49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翌圣/全式金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625ADE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竞争态势</w:t>
            </w:r>
          </w:p>
        </w:tc>
      </w:tr>
      <w:tr w14:paraId="38048A89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962BC6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广州市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F1341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█████░░░░░ (30)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B538C3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55% █████░░░░░ (33)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093D3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30% ███░░░░░░░ (18)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B22C54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3A4EEFAC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FFC0E2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北京市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D9060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36% ███░░░░░░░ (19)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37ACB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49% ████░░░░░░ (26)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8FC6F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25% ██░░░░░░░░ (13)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85A49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31187510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88200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深圳市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54026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70% ███████░░░ (31)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835A83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45% ████░░░░░░ (20)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3126C9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18% █░░░░░░░░░ (8)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3BA633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优势</w:t>
            </w:r>
          </w:p>
        </w:tc>
      </w:tr>
      <w:tr w14:paraId="1705E0C7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AE90DC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上海市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85F62F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51% █████░░░░░ (22)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4B1D3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65% ██████░░░░ (28)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AC117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21% ██░░░░░░░░ (9)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5F8C2D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441EDCF3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80E7B5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杭州市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003D6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62% ██████░░░░ (25)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E4AC36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40% ████░░░░░░ (16)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DB86A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38% ███░░░░░░░ (15)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31AA2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优势</w:t>
            </w:r>
          </w:p>
        </w:tc>
      </w:tr>
      <w:tr w14:paraId="7435CCF4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397D8F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长沙市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9411A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61% ██████░░░░ (19)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8EAC0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55% █████░░░░░ (17)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93850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35% ███░░░░░░░ (11)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AC3E3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 持平</w:t>
            </w:r>
          </w:p>
        </w:tc>
      </w:tr>
      <w:tr w14:paraId="3730FCCD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F62C9F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厦门市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2C46D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39% ███░░░░░░░ (11)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812F2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46% ████░░░░░░ (13)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7E3CF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21% ██░░░░░░░░ (6)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0D2E1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6A9FAA22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907695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成都市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B351E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█████░░░░░ (12)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574CB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58% █████░░░░░ (14)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6C5B7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25% ██░░░░░░░░ (6)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F1FDB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016CEAB4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D92FB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武汉市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5AEED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39% ███░░░░░░░ (9)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790F3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78% ███████░░░ (18)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C3E2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17% █░░░░░░░░░ (4)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A369B3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 劣势</w:t>
            </w:r>
          </w:p>
        </w:tc>
      </w:tr>
      <w:tr w14:paraId="0943926F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21F281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天津市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C3D926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 █████░░░░░ (9)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7AC58C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39% ███░░░░░░░ (7)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DD0957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22% ██░░░░░░░░ (4)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93755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优势</w:t>
            </w:r>
          </w:p>
        </w:tc>
      </w:tr>
      <w:tr w14:paraId="5F8C15DF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FF8939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珠海市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C1FDE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69% ██████░░░░ (11)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41719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44% ████░░░░░░ (7)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127258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0% ░░░░░░░░░░ (0)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418B31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优势</w:t>
            </w:r>
          </w:p>
        </w:tc>
      </w:tr>
      <w:tr w14:paraId="54813CB8">
        <w:trPr>
          <w:jc w:val="center"/>
        </w:trPr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7EEA12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西安市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7A3101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60% ██████░░░░ (6)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A32A01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20% ██░░░░░░░░ (2)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924C0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40% ████░░░░░░ (4)</w:t>
            </w:r>
          </w:p>
        </w:tc>
        <w:tc>
          <w:tcPr>
            <w:tcW w:w="296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9B5CA4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 优势</w:t>
            </w:r>
          </w:p>
        </w:tc>
      </w:tr>
    </w:tbl>
    <w:p w14:paraId="5D672322">
      <w:pPr>
        <w:rPr>
          <w:rFonts w:hint="default" w:ascii="Times New Roman Regular" w:hAnsi="Times New Roman Regular" w:eastAsia="PingFang SC Regular" w:cs="Times New Roman Regular"/>
        </w:rPr>
      </w:pPr>
    </w:p>
    <w:p w14:paraId="3667836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3.2 产品热点需求：各城市差异化偏好</w:t>
      </w:r>
    </w:p>
    <w:p w14:paraId="4A0882B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Q16多选数据显示不同城市在技术路线上的差异化偏好，为产品部门分区域推广提供方向。单元格中数字为该城市选择该项的人数。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 w14:paraId="765EAB89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7D2A9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城市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CA5B1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多重PCR探针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61841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分子POCT冻干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3544973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超多重PCR熔解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4B400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液体全预混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2312E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释放剂直扩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3A20A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-20℃超快速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591FF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LAMP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E2808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数字PCR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C32D0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甲基化早筛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DE3ECD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病原m+t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0F76F0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RPA</w:t>
            </w:r>
          </w:p>
        </w:tc>
      </w:tr>
      <w:tr w14:paraId="4DE9D155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69E5D3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广州市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37B5CA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46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1FC9A5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1433F6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3676C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5BAED5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31DFE1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9551A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60D75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DAB383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34E78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9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422A58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3DB98105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FF176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北京市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441610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0C50F6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0BA174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38C85C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3D78B5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0103AC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E2FEAE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10C12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BE3C7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0E2B9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A32C4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74552327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8B14C8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深圳市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1DFAE1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36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32D780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25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3566818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DB985A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E4A66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0FC50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944D6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33E44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36EBBA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DB02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14C3E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</w:tr>
      <w:tr w14:paraId="56BA77DC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B066DE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上海市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0E9BA3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25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0035A2D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19FD4B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A2EE2A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38612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9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7ADC7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E0E67A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22171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1E361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05022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632202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796F9867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D8D3D3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杭州市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4CE1C19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28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078530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22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4AA8BD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476FFC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067C4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86911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0B6FD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7FBF3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7F6209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74DACE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2AB354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</w:tr>
      <w:tr w14:paraId="7070C81A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A8F77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长沙市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530D5E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24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4908391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22A5B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CC1CA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9A87A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69A0008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3A345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F2F40C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FA1497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FCA74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4FCFE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</w:tr>
      <w:tr w14:paraId="2466F522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650C2C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厦门市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3F16DC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0E9919D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AE6DB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3D281F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41E6F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902F7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1DAA9F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95696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9E0814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249CCC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EC1F4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</w:tr>
      <w:tr w14:paraId="384B458F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B09E48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成都市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4BB6B3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5F4B66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840A2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3A2F0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6D31F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27F96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E1762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486F3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7D998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1B09FD4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CBAC1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</w:tr>
      <w:tr w14:paraId="58662124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3A4883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武汉市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5581C8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28CD22F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28D68F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8387B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D21A1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16E7BC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6BE50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019D6E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C7611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B60F0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C2146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</w:tr>
      <w:tr w14:paraId="2FC51D92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F4A9F1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天津市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2E75B6"/>
          </w:tcPr>
          <w:p w14:paraId="2E06EEE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53F5B4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9D432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336AE72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2E0F8A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F6CB2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4C29A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4FF4D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359475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5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A762D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6D4D9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78128D63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08BED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珠海市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5B9BD5"/>
          </w:tcPr>
          <w:p w14:paraId="39F268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9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334FF84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66BFA7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35E869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932E1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A95A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D7A94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4D41E8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C7D9B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6CA45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EED234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43316376">
        <w:trPr>
          <w:jc w:val="center"/>
        </w:trPr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CD463A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西安市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F88548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BDD7EE"/>
          </w:tcPr>
          <w:p w14:paraId="790161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B8186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7DA2F98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40F402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086B5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B88DC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9ED7F7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DEEBF7"/>
          </w:tcPr>
          <w:p w14:paraId="272A96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95EEBE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1233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8095AC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</w:tr>
    </w:tbl>
    <w:p w14:paraId="6C7FA6DE">
      <w:pPr>
        <w:rPr>
          <w:rFonts w:hint="default" w:ascii="Times New Roman Regular" w:hAnsi="Times New Roman Regular" w:eastAsia="PingFang SC Regular" w:cs="Times New Roman Regular"/>
        </w:rPr>
      </w:pPr>
    </w:p>
    <w:p w14:paraId="49E543E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6"/>
        </w:rPr>
        <w:t>颜色深浅 = 该城市对该产品方向的需求强度（深蓝&gt;65% / 蓝&gt;50% / 浅蓝&gt;35% / 灰&lt;20%）</w:t>
      </w:r>
    </w:p>
    <w:p w14:paraId="74B8FF6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0D72A001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四、产品开发方向建议（按区域聚类）</w:t>
      </w:r>
    </w:p>
    <w:p w14:paraId="1EE219B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根据区域需求特征，将12城聚类为4个产品战略区，每区对应差异化产品开发重点。</w:t>
      </w:r>
    </w:p>
    <w:p w14:paraId="3314892B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A区 - 饱和深耕型</w:t>
      </w:r>
      <w:r>
        <w:rPr>
          <w:rFonts w:hint="default" w:ascii="Times New Roman Regular" w:hAnsi="Times New Roman Regular" w:eastAsia="PingFang SC Regular" w:cs="Times New Roman Regular"/>
          <w:color w:val="2E75B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2E75B6"/>
        </w:rPr>
        <w:t>(深圳/杭州/珠海)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734806B0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280D20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覆盖城市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D7C348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深圳、杭州、珠海</w:t>
            </w:r>
          </w:p>
        </w:tc>
      </w:tr>
      <w:tr w14:paraId="4B7B51C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83F8AA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客户特征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1F0108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宝锐渗透率&gt;60%，评分高，客户忠诚</w:t>
            </w:r>
          </w:p>
        </w:tc>
      </w:tr>
      <w:tr w14:paraId="426FE8DC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8B3C2F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产品开发重点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8C8A36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产品稳定性持续提升（批间差/长期稳定性）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冻干技术迭代升级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LAMP/数字PCR等前沿方向试点</w:t>
            </w:r>
          </w:p>
        </w:tc>
      </w:tr>
      <w:tr w14:paraId="21B3DF17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BCD061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销售策略建议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B0F171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深度绑定大客户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1对1专属技术FAE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产品定制化服务</w:t>
            </w:r>
          </w:p>
        </w:tc>
      </w:tr>
    </w:tbl>
    <w:p w14:paraId="39A0743C">
      <w:pPr>
        <w:rPr>
          <w:rFonts w:hint="default" w:ascii="Times New Roman Regular" w:hAnsi="Times New Roman Regular" w:eastAsia="PingFang SC Regular" w:cs="Times New Roman Regular"/>
        </w:rPr>
      </w:pPr>
    </w:p>
    <w:p w14:paraId="3C65C64F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B区 - 攻坚突破型</w:t>
      </w:r>
      <w:r>
        <w:rPr>
          <w:rFonts w:hint="default" w:ascii="Times New Roman Regular" w:hAnsi="Times New Roman Regular" w:eastAsia="PingFang SC Regular" w:cs="Times New Roman Regular"/>
          <w:color w:val="2E75B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2E75B6"/>
        </w:rPr>
        <w:t>(北京/武汉/厦门)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735BAA19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22807D8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覆盖城市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A9CF99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北京、武汉、厦门</w:t>
            </w:r>
          </w:p>
        </w:tc>
      </w:tr>
      <w:tr w14:paraId="7E976FDC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D1E1C5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客户特征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91EFE5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宝锐渗透率&lt;40%，诺唯赞/菲鹏已占优势</w:t>
            </w:r>
          </w:p>
        </w:tc>
      </w:tr>
      <w:tr w14:paraId="24A24E12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25026B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产品开发重点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849FC7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竞品对标产品（性能差异化突破）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抗抑制/耐受功能强化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甲基化早筛新业务线</w:t>
            </w:r>
          </w:p>
        </w:tc>
      </w:tr>
      <w:tr w14:paraId="70AD816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E3836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销售策略建议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2AEB5C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学术会议高频参与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竞品对比测试→数据说服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试用装+免费验证策略</w:t>
            </w:r>
          </w:p>
        </w:tc>
      </w:tr>
    </w:tbl>
    <w:p w14:paraId="2CFF0DDE">
      <w:pPr>
        <w:rPr>
          <w:rFonts w:hint="default" w:ascii="Times New Roman Regular" w:hAnsi="Times New Roman Regular" w:eastAsia="PingFang SC Regular" w:cs="Times New Roman Regular"/>
        </w:rPr>
      </w:pPr>
    </w:p>
    <w:p w14:paraId="302D6C3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C区 - 风险防御型</w:t>
      </w:r>
      <w:r>
        <w:rPr>
          <w:rFonts w:hint="default" w:ascii="Times New Roman Regular" w:hAnsi="Times New Roman Regular" w:eastAsia="PingFang SC Regular" w:cs="Times New Roman Regular"/>
          <w:color w:val="2E75B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2E75B6"/>
        </w:rPr>
        <w:t>(广州/成都/西安)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630F4483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53C762A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覆盖城市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44A8A2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广州、成都、西安</w:t>
            </w:r>
          </w:p>
        </w:tc>
      </w:tr>
      <w:tr w14:paraId="273EF68D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AC3C41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客户特征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2D605A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评分偏低+诺唯赞竞争强+需求响应不满意</w:t>
            </w:r>
          </w:p>
        </w:tc>
      </w:tr>
      <w:tr w14:paraId="2A46849C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9084DF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产品开发重点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6A4B36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灵敏度/特异性提升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产品资料标准化+快速更新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需求响应SLA承诺</w:t>
            </w:r>
          </w:p>
        </w:tc>
      </w:tr>
      <w:tr w14:paraId="04C44997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4EBEBF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销售策略建议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46DDF5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尽快回访低分客户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本地服务响应提速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学术宣讲+资料更新</w:t>
            </w:r>
          </w:p>
        </w:tc>
      </w:tr>
    </w:tbl>
    <w:p w14:paraId="2D80E2E6">
      <w:pPr>
        <w:rPr>
          <w:rFonts w:hint="default" w:ascii="Times New Roman Regular" w:hAnsi="Times New Roman Regular" w:eastAsia="PingFang SC Regular" w:cs="Times New Roman Regular"/>
        </w:rPr>
      </w:pPr>
    </w:p>
    <w:p w14:paraId="0F7CF4D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D区 - 稳步增长型</w:t>
      </w:r>
      <w:r>
        <w:rPr>
          <w:rFonts w:hint="default" w:ascii="Times New Roman Regular" w:hAnsi="Times New Roman Regular" w:eastAsia="PingFang SC Regular" w:cs="Times New Roman Regular"/>
          <w:color w:val="2E75B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2E75B6"/>
        </w:rPr>
        <w:t>(上海/长沙/天津)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9"/>
        <w:gridCol w:w="7399"/>
      </w:tblGrid>
      <w:tr w14:paraId="4101F16D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0409A8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覆盖城市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E63B8F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上海、长沙、天津</w:t>
            </w:r>
          </w:p>
        </w:tc>
      </w:tr>
      <w:tr w14:paraId="145A65E4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A89560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客户特征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0EECCE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评分中上，稳定性需求集中，资深客户多</w:t>
            </w:r>
          </w:p>
        </w:tc>
      </w:tr>
      <w:tr w14:paraId="0EDB4466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11E5112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产品开发重点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0F7FF"/>
          </w:tcPr>
          <w:p w14:paraId="7303C2D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极速PCR/快速酶方向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冻干产品线丰富化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全预混/直扩兼容</w:t>
            </w:r>
          </w:p>
        </w:tc>
      </w:tr>
      <w:tr w14:paraId="78FC1B6C">
        <w:trPr>
          <w:jc w:val="center"/>
        </w:trPr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866C1C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8"/>
              </w:rPr>
              <w:t>销售策略建议</w:t>
            </w:r>
          </w:p>
        </w:tc>
        <w:tc>
          <w:tcPr>
            <w:tcW w:w="739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05DDD7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维护老客户防止流失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行业知识积累培训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6"/>
              </w:rPr>
              <w:t>产品迭代信息及时同步</w:t>
            </w:r>
          </w:p>
        </w:tc>
      </w:tr>
    </w:tbl>
    <w:p w14:paraId="33A3EA43">
      <w:pPr>
        <w:rPr>
          <w:rFonts w:hint="default" w:ascii="Times New Roman Regular" w:hAnsi="Times New Roman Regular" w:eastAsia="PingFang SC Regular" w:cs="Times New Roman Regular"/>
        </w:rPr>
      </w:pPr>
    </w:p>
    <w:p w14:paraId="6DFA7F2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229592DB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五、销售策略建议（按区域定制）</w:t>
      </w:r>
    </w:p>
    <w:p w14:paraId="465A9BB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5.1 销售改进需求区域差异</w:t>
      </w:r>
    </w:p>
    <w:p w14:paraId="6CC640D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Q3数据显示不同城市对销售环节的改进需求存在显著差异，需针对性调整。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 w14:paraId="3DCD6B79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B6748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城市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0C0EA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产品资料更新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232EB5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学术宣讲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345C6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行业知识积累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80B12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即时回复效率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7F5AC1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到货时间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121E9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2"/>
              </w:rPr>
              <w:t>售后服务</w:t>
            </w:r>
          </w:p>
        </w:tc>
      </w:tr>
      <w:tr w14:paraId="744BA14D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537709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广州市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6B6B"/>
          </w:tcPr>
          <w:p w14:paraId="544D5D2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30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10E9BC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3A399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F3CC9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DEAD1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B1982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</w:tr>
      <w:tr w14:paraId="0AAF689D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CEFA5E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北京市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6B68B60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5A0E66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1D959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7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E590EF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16BD8B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3D804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</w:tr>
      <w:tr w14:paraId="44FC0B6C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0D69F3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深圳市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6B6B"/>
          </w:tcPr>
          <w:p w14:paraId="1D557C7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18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20A66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8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363516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10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AFFC8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E3E6D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305CA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</w:tr>
      <w:tr w14:paraId="500EC930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CC09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上海市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27A11D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15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0DE12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7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BD9D77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30464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7E9F4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7079D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</w:tr>
      <w:tr w14:paraId="7B50CFB2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7BCDEF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杭州市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7C8BE32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5ED33B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7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F9B91A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BCB6C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69D0A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5B719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5</w:t>
            </w:r>
          </w:p>
        </w:tc>
      </w:tr>
      <w:tr w14:paraId="3BFB2B8B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34645C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长沙市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3C7EA9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E9BCF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6C5AC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46E76A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DBE955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9EC9B2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</w:tr>
      <w:tr w14:paraId="640E9774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48A476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厦门市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136550E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5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C25CD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A09099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E4194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D6697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05871E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</w:tr>
      <w:tr w14:paraId="13E62680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700F78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成都市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6B6B"/>
          </w:tcPr>
          <w:p w14:paraId="69621DE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34A4FE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3E541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B175B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6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079640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997F57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</w:tr>
      <w:tr w14:paraId="0925B999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4B4219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武汉市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6B6B"/>
          </w:tcPr>
          <w:p w14:paraId="574F9A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10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2255FCD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4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730EE2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95FB9A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EEA85F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096161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3</w:t>
            </w:r>
          </w:p>
        </w:tc>
      </w:tr>
      <w:tr w14:paraId="71F8183F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7D774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天津市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6B6B"/>
          </w:tcPr>
          <w:p w14:paraId="2567F4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FFFFFF"/>
                <w:sz w:val="14"/>
              </w:rPr>
              <w:t>9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CB76DE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31E9A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2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03172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0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3CD104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E37609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22371501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E1C0D1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珠海市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40C7246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5D7F0F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78F07EA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FC69F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FCB86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AD76E4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</w:tr>
      <w:tr w14:paraId="612CF73C">
        <w:trPr>
          <w:jc w:val="center"/>
        </w:trPr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6E2180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西安市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636F392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EB43C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8E1"/>
          </w:tcPr>
          <w:p w14:paraId="657A216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666666"/>
                <w:sz w:val="14"/>
              </w:rPr>
              <w:t>2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620A12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AFA41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AAAAAA"/>
                <w:sz w:val="14"/>
              </w:rPr>
              <w:t>1</w:t>
            </w:r>
          </w:p>
        </w:tc>
        <w:tc>
          <w:tcPr>
            <w:tcW w:w="211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D93D"/>
          </w:tcPr>
          <w:p w14:paraId="3D4191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</w:t>
            </w:r>
          </w:p>
        </w:tc>
      </w:tr>
    </w:tbl>
    <w:p w14:paraId="76D93626">
      <w:pPr>
        <w:rPr>
          <w:rFonts w:hint="default" w:ascii="Times New Roman Regular" w:hAnsi="Times New Roman Regular" w:eastAsia="PingFang SC Regular" w:cs="Times New Roman Regular"/>
        </w:rPr>
      </w:pPr>
    </w:p>
    <w:p w14:paraId="5FC3737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6"/>
        </w:rPr>
        <w:t>红色=急需改善(&gt;40%) / 黄色=重点关注(&gt;25%) / 浅黄=常规跟进(&gt;15%)</w:t>
      </w:r>
    </w:p>
    <w:p w14:paraId="79B0C482">
      <w:pPr>
        <w:rPr>
          <w:rFonts w:hint="default" w:ascii="Times New Roman Regular" w:hAnsi="Times New Roman Regular" w:eastAsia="PingFang SC Regular" w:cs="Times New Roman Regular"/>
        </w:rPr>
      </w:pPr>
    </w:p>
    <w:p w14:paraId="294896A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5.2 各城市销售策略速查卡</w:t>
      </w:r>
    </w:p>
    <w:p w14:paraId="6AC6785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【深圳 · 0人】宝锐渗透率最高，无需大力开拓→重点维护老客户关系，强化技术FAE配置，推数字PCR</w:t>
      </w:r>
    </w:p>
    <w:p w14:paraId="752105D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【广州 · 0人】产品资料更新需求最迫切(30/60=50%)→优先完成广州客户资料包，学术宣讲频次2x</w:t>
      </w:r>
    </w:p>
    <w:p w14:paraId="0629760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【北京 · 0人】学术宣讲+行业知识积累需求高→参与北京学术会议，安排季度技术讲座</w:t>
      </w:r>
    </w:p>
    <w:p w14:paraId="1101650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【上海 · 0人】质量不满意多→主动提供稳定性验证报告，展示质量控制体系</w:t>
      </w:r>
    </w:p>
    <w:p w14:paraId="4E76725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【杭州 · 0人】评分最高，LAMP需求突出→标杆客户维护+LAMP产品专项推广</w:t>
      </w:r>
    </w:p>
    <w:p w14:paraId="370F560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【长沙 · 0人】价格评价偏适中+即时回复需求→优化报价策略，提升本地销售响应速度</w:t>
      </w:r>
    </w:p>
    <w:p w14:paraId="3E5B6CD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【厦门 · 0人】采购比例最高→定向采购人群培训+商务条款优化</w:t>
      </w:r>
    </w:p>
    <w:p w14:paraId="08B1A9D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【成都 · 0人】需求响应最不满意(8/24=33%)→设成都区域技术FAE，缩短响应时间</w:t>
      </w:r>
    </w:p>
    <w:p w14:paraId="2398E86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【武汉 · 0人】诺唯赞绝对优势→竞品对比测试方案+超快速PCR差异化推广</w:t>
      </w:r>
    </w:p>
    <w:p w14:paraId="5BAE704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【天津 · 0人】资深客户多→定期高层拜访+行业知识深度分享</w:t>
      </w:r>
    </w:p>
    <w:p w14:paraId="292272B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【珠海 · 0人】大本营+政企客户→政府关系维护+稳定供应保障</w:t>
      </w:r>
    </w:p>
    <w:p w14:paraId="0F5A1C7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【西安 · 0人】评分最低区域→总监级立即回访+售后全面整改</w:t>
      </w:r>
    </w:p>
    <w:p w14:paraId="7AF2A3A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25EB1EC1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附录：区域数据速查表</w:t>
      </w:r>
    </w:p>
    <w:p w14:paraId="7B28E4A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以下为12个重点城市的完整数据，供各部门深入分析。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14:paraId="5CE72179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711C7CE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城市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5F0BE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n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1913D4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29BFA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67F586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729B531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宝锐%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5C807A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供应商TOP2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083A9B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Q12痛点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46924F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Q16热点TOP2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1F3864"/>
          </w:tcPr>
          <w:p w14:paraId="39E4BE6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4"/>
              </w:rPr>
              <w:t>风险</w:t>
            </w:r>
          </w:p>
        </w:tc>
      </w:tr>
      <w:tr w14:paraId="0A97605C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172ED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广州市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EAA4E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60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BE5F0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86C89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7E0D96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A2CF84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EDFC7B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诺唯赞/菲鹏(33) + 宝锐(30)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2D8A6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价格26、其他14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87708B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多重PCR探针(46)、超多重PCR熔解(27)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7C0D6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4D572741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D3763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北京市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2B09E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53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7EB00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5239F4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9.5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CA040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C1C45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36%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873BF4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诺唯赞/菲鹏(26) + 宝锐(19)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82BD9E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价格22、其他12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FFCA1D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多重PCR探针(26)、分子POCT冻干(24)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E0A0A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350E22BA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3169A4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深圳市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5FD5F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3C7D1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3B18F4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9.7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2989D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FC9D0D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70%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831B5B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宝锐(31) + 诺唯赞/菲鹏(20)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ED3089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价格14、其他13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94366B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多重PCR探针(36)、分子POCT冻干(25)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7A0F9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</w:t>
            </w:r>
          </w:p>
        </w:tc>
      </w:tr>
      <w:tr w14:paraId="4B277ACD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AF0C7A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上海市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C87B8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43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8F8BCE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0504A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9.6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764AE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300E8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51%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25DFB7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诺唯赞/菲鹏(28) + 宝锐(22)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6A4E2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价格13、质量9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3BB2F2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多重PCR探针(25)、分子POCT冻干(17)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066F9B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3D0AE7C1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DE299B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杭州市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840E21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40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F4D6C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03F6A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9.7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CDA18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D572B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62%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4805C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宝锐(25) + 诺唯赞/菲鹏(16)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8EE3DA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价格15、其他14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A7751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多重PCR探针(28)、分子POCT冻干(22)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B1EDC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</w:t>
            </w:r>
          </w:p>
        </w:tc>
      </w:tr>
      <w:tr w14:paraId="2A75F438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17FF75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长沙市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B36DC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CFC36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6B35EA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B6C78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6F09A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61%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20BB7F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宝锐(19) + 诺唯赞/菲鹏(17)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92EE7B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价格20、其他5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622012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多重PCR探针(24)、分子POCT冻干(18)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4804E7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74508840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6D1917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厦门市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2B0347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0F043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B370A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9.6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49F7A18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A49D9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39%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443552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诺唯赞/菲鹏(13) + 宝锐(11)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9CF898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价格13、质量7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884AAD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多重PCR探针(17)、分子POCT冻干(14)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7DBD44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30FD6D46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069CA3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成都市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719F5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BA2E4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B6F1E8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9.1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271B9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E764C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253536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诺唯赞/菲鹏(14) + 宝锐(12)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D0A305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价格9、需求响应8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EE8E0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多重PCR探针(11)、分子POCT冻干(9)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C7668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  <w:tr w14:paraId="0F709F76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C05355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武汉市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9B1C2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23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5B935F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F8178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37B6D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9.2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12F270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39%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4D1AFC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诺唯赞/菲鹏(18) + 宝锐(9)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1F0F6B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价格12、其他5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66F877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多重PCR探针(13)、分子POCT冻干(12)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8D686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🔴</w:t>
            </w:r>
          </w:p>
        </w:tc>
      </w:tr>
      <w:tr w14:paraId="3FAC9559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5FA2722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天津市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29AEE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BCD1FF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04CC3A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9.7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033B50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9.6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3E66A2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50%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10D175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宝锐(9) + 诺唯赞/菲鹏(7)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A8DF6C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其他6、价格5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97C658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多重PCR探针(13)、超多重PCR熔解(8)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DA5D8E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</w:t>
            </w:r>
          </w:p>
        </w:tc>
      </w:tr>
      <w:tr w14:paraId="13F753E8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FDA254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珠海市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42A37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16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511717F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9.5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251A3A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9.6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B397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9.4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41393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69%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6FC2F3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宝锐(11) + 诺唯赞/菲鹏(7)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0EA3F62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价格8、其他7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7CE68D2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多重PCR探针(9)、分子POCT冻干(7)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</w:tcPr>
          <w:p w14:paraId="3634EA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🟢</w:t>
            </w:r>
          </w:p>
        </w:tc>
      </w:tr>
      <w:tr w14:paraId="2CB36873">
        <w:trPr>
          <w:jc w:val="center"/>
        </w:trPr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24FE326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4"/>
              </w:rPr>
              <w:t>西安市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6DE7E0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10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41CBC28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17B597F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8.9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0F2D4F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8.8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3FFBEB7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4"/>
              </w:rPr>
              <w:t>60%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D6150E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宝锐(6) + 翌圣/全式金(4)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82D8AD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其他5、需求响应3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68A36D7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333333"/>
                <w:sz w:val="12"/>
              </w:rPr>
              <w:t>分子POCT冻干(4)、多重PCR探针(4)</w:t>
            </w:r>
          </w:p>
        </w:tc>
        <w:tc>
          <w:tcPr>
            <w:tcW w:w="148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8FBFF"/>
          </w:tcPr>
          <w:p w14:paraId="76B507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333333"/>
                <w:sz w:val="16"/>
              </w:rPr>
              <w:t>🟡</w:t>
            </w:r>
          </w:p>
        </w:tc>
      </w:tr>
    </w:tbl>
    <w:p w14:paraId="479CC6A1">
      <w:pPr>
        <w:rPr>
          <w:rFonts w:hint="default" w:ascii="Times New Roman Regular" w:hAnsi="Times New Roman Regular" w:eastAsia="PingFang SC Regular" w:cs="Times New Roman Regular"/>
        </w:rPr>
      </w:pPr>
    </w:p>
    <w:sectPr>
      <w:pgSz w:w="16838" w:h="11906" w:orient="landscape"/>
      <w:pgMar w:top="850" w:right="1020" w:bottom="850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5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7BB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2026-04-28T12:12:33Z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18E1D040368BE532B133F069E4BE2152_42</vt:lpwstr>
  </property>
</Properties>
</file>